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E89A3" w14:textId="1509F379" w:rsidR="00C167B1" w:rsidRPr="00284102" w:rsidRDefault="00026D3B" w:rsidP="006950AA">
      <w:pPr>
        <w:shd w:val="clear" w:color="auto" w:fill="385623" w:themeFill="accent6" w:themeFillShade="80"/>
        <w:spacing w:line="276" w:lineRule="auto"/>
        <w:jc w:val="center"/>
        <w:rPr>
          <w:rFonts w:cstheme="minorHAnsi"/>
          <w:b/>
          <w:bCs/>
          <w:color w:val="FFFFFF" w:themeColor="background1"/>
          <w:sz w:val="24"/>
          <w:szCs w:val="24"/>
        </w:rPr>
      </w:pPr>
      <w:r w:rsidRPr="00284102">
        <w:rPr>
          <w:rFonts w:cstheme="minorHAnsi"/>
          <w:b/>
          <w:bCs/>
          <w:color w:val="FFFFFF" w:themeColor="background1"/>
          <w:sz w:val="24"/>
          <w:szCs w:val="24"/>
        </w:rPr>
        <w:t>T</w:t>
      </w:r>
      <w:r w:rsidR="000E25C6" w:rsidRPr="00284102">
        <w:rPr>
          <w:rFonts w:cstheme="minorHAnsi"/>
          <w:b/>
          <w:bCs/>
          <w:color w:val="FFFFFF" w:themeColor="background1"/>
          <w:sz w:val="24"/>
          <w:szCs w:val="24"/>
        </w:rPr>
        <w:t xml:space="preserve">erms </w:t>
      </w:r>
      <w:r w:rsidRPr="00284102">
        <w:rPr>
          <w:rFonts w:cstheme="minorHAnsi"/>
          <w:b/>
          <w:bCs/>
          <w:color w:val="FFFFFF" w:themeColor="background1"/>
          <w:sz w:val="24"/>
          <w:szCs w:val="24"/>
        </w:rPr>
        <w:t>o</w:t>
      </w:r>
      <w:r w:rsidR="000E25C6" w:rsidRPr="00284102">
        <w:rPr>
          <w:rFonts w:cstheme="minorHAnsi"/>
          <w:b/>
          <w:bCs/>
          <w:color w:val="FFFFFF" w:themeColor="background1"/>
          <w:sz w:val="24"/>
          <w:szCs w:val="24"/>
        </w:rPr>
        <w:t xml:space="preserve">f </w:t>
      </w:r>
      <w:r w:rsidRPr="00284102">
        <w:rPr>
          <w:rFonts w:cstheme="minorHAnsi"/>
          <w:b/>
          <w:bCs/>
          <w:color w:val="FFFFFF" w:themeColor="background1"/>
          <w:sz w:val="24"/>
          <w:szCs w:val="24"/>
        </w:rPr>
        <w:t>R</w:t>
      </w:r>
      <w:r w:rsidR="000E25C6" w:rsidRPr="00284102">
        <w:rPr>
          <w:rFonts w:cstheme="minorHAnsi"/>
          <w:b/>
          <w:bCs/>
          <w:color w:val="FFFFFF" w:themeColor="background1"/>
          <w:sz w:val="24"/>
          <w:szCs w:val="24"/>
        </w:rPr>
        <w:t>eference</w:t>
      </w:r>
    </w:p>
    <w:p w14:paraId="72768B76" w14:textId="18FE1CAB" w:rsidR="00262D27" w:rsidRPr="00284102" w:rsidRDefault="006950AA" w:rsidP="006950AA">
      <w:pPr>
        <w:shd w:val="clear" w:color="auto" w:fill="385623" w:themeFill="accent6" w:themeFillShade="80"/>
        <w:spacing w:line="276" w:lineRule="auto"/>
        <w:jc w:val="center"/>
        <w:rPr>
          <w:rFonts w:cstheme="minorHAnsi"/>
          <w:b/>
          <w:bCs/>
          <w:color w:val="FFFFFF" w:themeColor="background1"/>
          <w:sz w:val="24"/>
          <w:szCs w:val="24"/>
        </w:rPr>
      </w:pPr>
      <w:r w:rsidRPr="00284102">
        <w:rPr>
          <w:rFonts w:cstheme="minorHAnsi"/>
          <w:b/>
          <w:bCs/>
          <w:color w:val="FFFFFF" w:themeColor="background1"/>
          <w:sz w:val="24"/>
          <w:szCs w:val="24"/>
        </w:rPr>
        <w:t>Na</w:t>
      </w:r>
      <w:r w:rsidR="00FD5E5E" w:rsidRPr="00284102">
        <w:rPr>
          <w:rFonts w:cstheme="minorHAnsi"/>
          <w:b/>
          <w:bCs/>
          <w:color w:val="FFFFFF" w:themeColor="background1"/>
          <w:sz w:val="24"/>
          <w:szCs w:val="24"/>
        </w:rPr>
        <w:t xml:space="preserve">tional </w:t>
      </w:r>
      <w:r w:rsidR="00654655" w:rsidRPr="00284102">
        <w:rPr>
          <w:rFonts w:cstheme="minorHAnsi"/>
          <w:b/>
          <w:bCs/>
          <w:color w:val="FFFFFF" w:themeColor="background1"/>
          <w:sz w:val="24"/>
          <w:szCs w:val="24"/>
        </w:rPr>
        <w:t>Facilitator</w:t>
      </w:r>
      <w:r w:rsidR="001C5993" w:rsidRPr="00284102">
        <w:rPr>
          <w:rFonts w:cstheme="minorHAnsi"/>
          <w:b/>
          <w:bCs/>
          <w:color w:val="FFFFFF" w:themeColor="background1"/>
          <w:sz w:val="24"/>
          <w:szCs w:val="24"/>
        </w:rPr>
        <w:t xml:space="preserve"> – </w:t>
      </w:r>
      <w:r w:rsidR="00AA2546" w:rsidRPr="00284102">
        <w:rPr>
          <w:rFonts w:cstheme="minorHAnsi"/>
          <w:b/>
          <w:bCs/>
          <w:color w:val="FFFFFF" w:themeColor="background1"/>
          <w:sz w:val="24"/>
          <w:szCs w:val="24"/>
        </w:rPr>
        <w:t>Mutual Recognition Agreement</w:t>
      </w:r>
      <w:r w:rsidR="001C5993" w:rsidRPr="00284102">
        <w:rPr>
          <w:rFonts w:cstheme="minorHAnsi"/>
          <w:b/>
          <w:bCs/>
          <w:color w:val="FFFFFF" w:themeColor="background1"/>
          <w:sz w:val="24"/>
          <w:szCs w:val="24"/>
        </w:rPr>
        <w:t xml:space="preserve"> Development and Implementation</w:t>
      </w:r>
    </w:p>
    <w:p w14:paraId="08716235" w14:textId="5536EF28" w:rsidR="00D14BB4" w:rsidRPr="00351E9D" w:rsidRDefault="00D14BB4" w:rsidP="00351E9D">
      <w:pPr>
        <w:spacing w:line="276" w:lineRule="auto"/>
        <w:jc w:val="both"/>
        <w:rPr>
          <w:rFonts w:cstheme="minorHAnsi"/>
          <w:b/>
          <w:bCs/>
          <w:i/>
          <w:iCs/>
        </w:rPr>
      </w:pPr>
      <w:r w:rsidRPr="00351E9D">
        <w:rPr>
          <w:rFonts w:cstheme="minorHAnsi"/>
          <w:b/>
          <w:bCs/>
          <w:i/>
          <w:iCs/>
        </w:rPr>
        <w:t>Background</w:t>
      </w:r>
      <w:r w:rsidR="00CF3B9B" w:rsidRPr="00351E9D">
        <w:rPr>
          <w:rFonts w:cstheme="minorHAnsi"/>
          <w:b/>
          <w:bCs/>
          <w:i/>
          <w:iCs/>
        </w:rPr>
        <w:t xml:space="preserve"> </w:t>
      </w:r>
    </w:p>
    <w:p w14:paraId="50EDB17C" w14:textId="77777777" w:rsidR="00DD1B6A" w:rsidRPr="00FE216C" w:rsidRDefault="00DD1B6A" w:rsidP="00DD1B6A">
      <w:pPr>
        <w:spacing w:after="0"/>
        <w:jc w:val="both"/>
        <w:rPr>
          <w:rFonts w:cstheme="minorHAnsi"/>
        </w:rPr>
      </w:pPr>
      <w:r w:rsidRPr="00FE216C">
        <w:rPr>
          <w:rFonts w:cstheme="minorHAnsi"/>
        </w:rPr>
        <w:t xml:space="preserve">The Treaty establishing the Common Market for Eastern and Southern Africa (COMESA), among other things, emphasizes harmonization of agricultural policy across the region to promote agricultural development and intra-regional trade. However, intra-regional agricultural trade remains poorly developed. Several studies show an economic basis for mutually beneficial trade in agricultural inputs and commodities and significant opportunity to expand intra-COMESA trade in these products. However, these are constrained by several factors, as indicated by analytical work carried out by COMESA under the Breaking Barriers – Facilitating Trade Project in 2016-2017, as follows:  </w:t>
      </w:r>
    </w:p>
    <w:p w14:paraId="49BEB9B6" w14:textId="77777777" w:rsidR="00DD1B6A" w:rsidRPr="00FE216C" w:rsidRDefault="00DD1B6A" w:rsidP="00DD1B6A">
      <w:pPr>
        <w:spacing w:after="0"/>
        <w:jc w:val="both"/>
        <w:rPr>
          <w:rFonts w:cstheme="minorHAnsi"/>
        </w:rPr>
      </w:pPr>
    </w:p>
    <w:p w14:paraId="34E768E3" w14:textId="288D114B" w:rsidR="00DD1B6A" w:rsidRPr="00FE216C" w:rsidRDefault="00DD1B6A" w:rsidP="007074CD">
      <w:pPr>
        <w:pStyle w:val="ListParagraph"/>
        <w:numPr>
          <w:ilvl w:val="0"/>
          <w:numId w:val="20"/>
        </w:numPr>
        <w:spacing w:after="0" w:line="240" w:lineRule="auto"/>
        <w:ind w:left="720" w:hanging="360"/>
        <w:contextualSpacing w:val="0"/>
        <w:jc w:val="both"/>
        <w:rPr>
          <w:rFonts w:cstheme="minorHAnsi"/>
          <w:sz w:val="22"/>
          <w:szCs w:val="22"/>
        </w:rPr>
      </w:pPr>
      <w:r w:rsidRPr="00FE216C">
        <w:rPr>
          <w:rFonts w:cstheme="minorHAnsi"/>
          <w:sz w:val="22"/>
          <w:szCs w:val="22"/>
        </w:rPr>
        <w:t xml:space="preserve">Proliferation of non-tariff measures amongst </w:t>
      </w:r>
      <w:r w:rsidR="00D316F2" w:rsidRPr="00FE216C">
        <w:rPr>
          <w:rFonts w:cstheme="minorHAnsi"/>
          <w:sz w:val="22"/>
          <w:szCs w:val="22"/>
        </w:rPr>
        <w:t>Member States</w:t>
      </w:r>
      <w:r w:rsidRPr="00FE216C">
        <w:rPr>
          <w:rFonts w:cstheme="minorHAnsi"/>
          <w:sz w:val="22"/>
          <w:szCs w:val="22"/>
        </w:rPr>
        <w:t xml:space="preserve">. </w:t>
      </w:r>
    </w:p>
    <w:p w14:paraId="2CAFAA47" w14:textId="5EEE7E8E" w:rsidR="00DD1B6A" w:rsidRPr="00FE216C" w:rsidRDefault="00DD1B6A" w:rsidP="007074CD">
      <w:pPr>
        <w:pStyle w:val="ListParagraph"/>
        <w:numPr>
          <w:ilvl w:val="0"/>
          <w:numId w:val="20"/>
        </w:numPr>
        <w:spacing w:after="0" w:line="240" w:lineRule="auto"/>
        <w:ind w:left="720" w:hanging="360"/>
        <w:contextualSpacing w:val="0"/>
        <w:jc w:val="both"/>
        <w:rPr>
          <w:rFonts w:cstheme="minorHAnsi"/>
          <w:sz w:val="22"/>
          <w:szCs w:val="22"/>
        </w:rPr>
      </w:pPr>
      <w:r w:rsidRPr="00FE216C">
        <w:rPr>
          <w:rFonts w:cstheme="minorHAnsi"/>
          <w:sz w:val="22"/>
          <w:szCs w:val="22"/>
        </w:rPr>
        <w:t xml:space="preserve">Cumbersome procedures faced by traders in in obtaining Sanitary and Phyto-Sanitary Measures (SPS) documents, quality certificates and other documents to process transactions. </w:t>
      </w:r>
    </w:p>
    <w:p w14:paraId="6A242927" w14:textId="77777777" w:rsidR="00DD1B6A" w:rsidRPr="00FE216C" w:rsidRDefault="00DD1B6A" w:rsidP="007074CD">
      <w:pPr>
        <w:pStyle w:val="ListParagraph"/>
        <w:numPr>
          <w:ilvl w:val="0"/>
          <w:numId w:val="20"/>
        </w:numPr>
        <w:spacing w:after="0" w:line="240" w:lineRule="auto"/>
        <w:ind w:left="720" w:hanging="360"/>
        <w:contextualSpacing w:val="0"/>
        <w:jc w:val="both"/>
        <w:rPr>
          <w:rFonts w:cstheme="minorHAnsi"/>
          <w:sz w:val="22"/>
          <w:szCs w:val="22"/>
        </w:rPr>
      </w:pPr>
      <w:r w:rsidRPr="00FE216C">
        <w:rPr>
          <w:rFonts w:cstheme="minorHAnsi"/>
          <w:sz w:val="22"/>
          <w:szCs w:val="22"/>
        </w:rPr>
        <w:t xml:space="preserve">Lack of mutual recognition of technical regulations and conformity assessment due to capacity constraints – which pose a serious constraint to intra-regional trade in agricultural commodities in the region.  </w:t>
      </w:r>
    </w:p>
    <w:p w14:paraId="084BA253" w14:textId="77777777" w:rsidR="00DD1B6A" w:rsidRPr="00FE216C" w:rsidRDefault="00DD1B6A" w:rsidP="007074CD">
      <w:pPr>
        <w:pStyle w:val="ListParagraph"/>
        <w:numPr>
          <w:ilvl w:val="0"/>
          <w:numId w:val="20"/>
        </w:numPr>
        <w:spacing w:after="0" w:line="240" w:lineRule="auto"/>
        <w:ind w:left="720" w:hanging="360"/>
        <w:contextualSpacing w:val="0"/>
        <w:jc w:val="both"/>
        <w:rPr>
          <w:rFonts w:cstheme="minorHAnsi"/>
          <w:sz w:val="22"/>
          <w:szCs w:val="22"/>
        </w:rPr>
      </w:pPr>
      <w:r w:rsidRPr="00FE216C">
        <w:rPr>
          <w:rFonts w:cstheme="minorHAnsi"/>
          <w:sz w:val="22"/>
          <w:szCs w:val="22"/>
        </w:rPr>
        <w:t>Differences in quality and conformity assessment measures often cause regulatory or technical barriers to trade.</w:t>
      </w:r>
    </w:p>
    <w:p w14:paraId="589F05DE" w14:textId="694F4E3F" w:rsidR="00DD1B6A" w:rsidRPr="00FE216C" w:rsidRDefault="00DD1B6A" w:rsidP="007074CD">
      <w:pPr>
        <w:pStyle w:val="ListParagraph"/>
        <w:numPr>
          <w:ilvl w:val="0"/>
          <w:numId w:val="20"/>
        </w:numPr>
        <w:spacing w:after="0" w:line="240" w:lineRule="auto"/>
        <w:ind w:left="720" w:hanging="360"/>
        <w:contextualSpacing w:val="0"/>
        <w:jc w:val="both"/>
        <w:rPr>
          <w:rFonts w:cstheme="minorHAnsi"/>
          <w:sz w:val="22"/>
          <w:szCs w:val="22"/>
        </w:rPr>
      </w:pPr>
      <w:r w:rsidRPr="00FE216C">
        <w:rPr>
          <w:rFonts w:cstheme="minorHAnsi"/>
          <w:sz w:val="22"/>
          <w:szCs w:val="22"/>
        </w:rPr>
        <w:t>Non-harmonised SPS measures, regulations, and Standard Operating Procedures (SOPs)</w:t>
      </w:r>
      <w:r w:rsidR="008700CA">
        <w:rPr>
          <w:rFonts w:cstheme="minorHAnsi"/>
          <w:sz w:val="22"/>
          <w:szCs w:val="22"/>
        </w:rPr>
        <w:t>.</w:t>
      </w:r>
      <w:r w:rsidRPr="00FE216C">
        <w:rPr>
          <w:rFonts w:cstheme="minorHAnsi"/>
          <w:sz w:val="22"/>
          <w:szCs w:val="22"/>
        </w:rPr>
        <w:t xml:space="preserve"> </w:t>
      </w:r>
    </w:p>
    <w:p w14:paraId="67B10CEF" w14:textId="77777777" w:rsidR="00DD1B6A" w:rsidRPr="00FE216C" w:rsidRDefault="00DD1B6A" w:rsidP="007074CD">
      <w:pPr>
        <w:pStyle w:val="ListParagraph"/>
        <w:numPr>
          <w:ilvl w:val="0"/>
          <w:numId w:val="20"/>
        </w:numPr>
        <w:spacing w:after="0" w:line="240" w:lineRule="auto"/>
        <w:ind w:left="720" w:hanging="360"/>
        <w:contextualSpacing w:val="0"/>
        <w:jc w:val="both"/>
        <w:rPr>
          <w:rFonts w:cstheme="minorHAnsi"/>
          <w:sz w:val="22"/>
          <w:szCs w:val="22"/>
        </w:rPr>
      </w:pPr>
      <w:r w:rsidRPr="00FE216C">
        <w:rPr>
          <w:rFonts w:cstheme="minorHAnsi"/>
          <w:sz w:val="22"/>
          <w:szCs w:val="22"/>
        </w:rPr>
        <w:t xml:space="preserve">Lack of capacity/capability/mechanism for risk-based methods (surveillance, sampling, testing, inspection, etc.). </w:t>
      </w:r>
    </w:p>
    <w:p w14:paraId="0E4A0D43" w14:textId="77777777" w:rsidR="00DD1B6A" w:rsidRPr="00FE216C" w:rsidRDefault="00DD1B6A" w:rsidP="00DD1B6A">
      <w:pPr>
        <w:spacing w:after="0"/>
        <w:jc w:val="both"/>
        <w:rPr>
          <w:rFonts w:cstheme="minorHAnsi"/>
        </w:rPr>
      </w:pPr>
      <w:r w:rsidRPr="00FE216C">
        <w:rPr>
          <w:rFonts w:cstheme="minorHAnsi"/>
        </w:rPr>
        <w:t xml:space="preserve"> </w:t>
      </w:r>
    </w:p>
    <w:p w14:paraId="67E9B0BA" w14:textId="105EBC8F" w:rsidR="00DD1B6A" w:rsidRPr="00FE216C" w:rsidRDefault="00906578" w:rsidP="00232C7F">
      <w:pPr>
        <w:jc w:val="both"/>
        <w:rPr>
          <w:rFonts w:cstheme="minorHAnsi"/>
        </w:rPr>
      </w:pPr>
      <w:r>
        <w:rPr>
          <w:rFonts w:cstheme="minorHAnsi"/>
        </w:rPr>
        <w:t xml:space="preserve">Consequently </w:t>
      </w:r>
      <w:r w:rsidR="004F0FCF">
        <w:rPr>
          <w:rFonts w:cstheme="minorHAnsi"/>
        </w:rPr>
        <w:t>AGRA, with funding from the Foreign Commonwealth and Development Office (FCDO)</w:t>
      </w:r>
      <w:r w:rsidR="00C46301">
        <w:rPr>
          <w:rFonts w:cstheme="minorHAnsi"/>
        </w:rPr>
        <w:t>, is supporting the Common Market for Eastern and Southern Africa (COMESA)</w:t>
      </w:r>
      <w:r w:rsidR="00046CB8">
        <w:rPr>
          <w:rFonts w:cstheme="minorHAnsi"/>
        </w:rPr>
        <w:t xml:space="preserve"> to implement a project aimed at </w:t>
      </w:r>
      <w:r w:rsidR="00DD1B6A" w:rsidRPr="00FE216C">
        <w:rPr>
          <w:rFonts w:cstheme="minorHAnsi"/>
        </w:rPr>
        <w:t>increas</w:t>
      </w:r>
      <w:r w:rsidR="00046CB8">
        <w:rPr>
          <w:rFonts w:cstheme="minorHAnsi"/>
        </w:rPr>
        <w:t>ing</w:t>
      </w:r>
      <w:r w:rsidR="00DD1B6A" w:rsidRPr="00FE216C">
        <w:rPr>
          <w:rFonts w:cstheme="minorHAnsi"/>
        </w:rPr>
        <w:t xml:space="preserve"> intra-regional trade by improving the trade policy and regulatory environment through the development of a Mutual Recognition Framework (MRF) for smooth implementation and monitoring of SPS measures and technical standards among six (6) COMESA Member States i.e., Kenya, Malawi, Rwanda, Uganda, Zambia, and Zimbabwe covering six (6) commodities (maize; soybean; sorghum; groundnuts; beans; rice). </w:t>
      </w:r>
    </w:p>
    <w:p w14:paraId="0B2DBEC4" w14:textId="599FB702" w:rsidR="00DD1B6A" w:rsidRPr="00FE216C" w:rsidRDefault="00DD1B6A" w:rsidP="00232C7F">
      <w:pPr>
        <w:jc w:val="both"/>
        <w:rPr>
          <w:rFonts w:cstheme="minorHAnsi"/>
        </w:rPr>
      </w:pPr>
      <w:r w:rsidRPr="00FE216C">
        <w:rPr>
          <w:rFonts w:cstheme="minorHAnsi"/>
        </w:rPr>
        <w:t xml:space="preserve">The project deploys MRF as a key instrument to support a more predictable environment for regional food trade and provide some flexibility in reducing the time and costs of trading by eliminating the need for redundant testing and/or certification.  With mutual recognition of conformity assessment procedures and equivalence of food control systems, underpinned by mutually agreed standard operating procedures (SOPs) for traders and inspectors, the intervention removes the need for multiple inspections and testing in the exporting and importing countries. In sum, the intervention will improve regulatory efficiency in cross border trade in food </w:t>
      </w:r>
      <w:r w:rsidR="008216FB">
        <w:rPr>
          <w:rFonts w:cstheme="minorHAnsi"/>
        </w:rPr>
        <w:t xml:space="preserve">and other identified general </w:t>
      </w:r>
      <w:r w:rsidRPr="00FE216C">
        <w:rPr>
          <w:rFonts w:cstheme="minorHAnsi"/>
        </w:rPr>
        <w:t>commodities in the region. The key outputs under the existing project include:</w:t>
      </w:r>
    </w:p>
    <w:p w14:paraId="74FC2DF5" w14:textId="77777777" w:rsidR="00DD1B6A" w:rsidRPr="00FE216C" w:rsidRDefault="00DD1B6A" w:rsidP="00DD1B6A">
      <w:pPr>
        <w:pStyle w:val="ListParagraph"/>
        <w:numPr>
          <w:ilvl w:val="0"/>
          <w:numId w:val="21"/>
        </w:numPr>
        <w:spacing w:after="0" w:line="240" w:lineRule="auto"/>
        <w:jc w:val="both"/>
        <w:rPr>
          <w:rFonts w:cstheme="minorHAnsi"/>
          <w:sz w:val="22"/>
          <w:szCs w:val="22"/>
        </w:rPr>
      </w:pPr>
      <w:r w:rsidRPr="00FE216C">
        <w:rPr>
          <w:rFonts w:cstheme="minorHAnsi"/>
          <w:sz w:val="22"/>
          <w:szCs w:val="22"/>
        </w:rPr>
        <w:t xml:space="preserve">MRF designed and </w:t>
      </w:r>
      <w:proofErr w:type="spellStart"/>
      <w:r w:rsidRPr="00FE216C">
        <w:rPr>
          <w:rFonts w:cstheme="minorHAnsi"/>
          <w:sz w:val="22"/>
          <w:szCs w:val="22"/>
        </w:rPr>
        <w:t>operationalised</w:t>
      </w:r>
      <w:proofErr w:type="spellEnd"/>
      <w:r w:rsidRPr="00FE216C">
        <w:rPr>
          <w:rFonts w:cstheme="minorHAnsi"/>
          <w:sz w:val="22"/>
          <w:szCs w:val="22"/>
        </w:rPr>
        <w:t xml:space="preserve"> amongst the six Member States (MRF as a technical annex to the Mutual Recognition Agreement (MRA)).</w:t>
      </w:r>
    </w:p>
    <w:p w14:paraId="5ED0EE6E" w14:textId="77777777" w:rsidR="002D37CB" w:rsidRPr="00FE216C" w:rsidRDefault="002D37CB" w:rsidP="002D37CB">
      <w:pPr>
        <w:pStyle w:val="NoSpacing"/>
        <w:numPr>
          <w:ilvl w:val="0"/>
          <w:numId w:val="21"/>
        </w:numPr>
        <w:jc w:val="both"/>
        <w:rPr>
          <w:rFonts w:cstheme="minorHAnsi"/>
          <w:sz w:val="22"/>
          <w:szCs w:val="22"/>
          <w:lang w:val="en-GB"/>
        </w:rPr>
      </w:pPr>
      <w:r w:rsidRPr="00FE216C">
        <w:rPr>
          <w:rFonts w:cstheme="minorHAnsi"/>
          <w:sz w:val="22"/>
          <w:szCs w:val="22"/>
          <w:lang w:val="en-GB"/>
        </w:rPr>
        <w:t>Country-level Private-Public Dialogue (PPD) platform for development and implementation of MRF/A functional in the six MS.</w:t>
      </w:r>
    </w:p>
    <w:p w14:paraId="3A7A6054" w14:textId="61C0EA77" w:rsidR="00DD1B6A" w:rsidRPr="00FE216C" w:rsidRDefault="00DD1B6A" w:rsidP="00DD1B6A">
      <w:pPr>
        <w:pStyle w:val="NoSpacing"/>
        <w:numPr>
          <w:ilvl w:val="0"/>
          <w:numId w:val="21"/>
        </w:numPr>
        <w:jc w:val="both"/>
        <w:rPr>
          <w:rFonts w:cstheme="minorHAnsi"/>
          <w:sz w:val="22"/>
          <w:szCs w:val="22"/>
          <w:lang w:val="en-GB"/>
        </w:rPr>
      </w:pPr>
      <w:r w:rsidRPr="00FE216C">
        <w:rPr>
          <w:rFonts w:cstheme="minorHAnsi"/>
          <w:sz w:val="22"/>
          <w:szCs w:val="22"/>
          <w:lang w:val="en-GB"/>
        </w:rPr>
        <w:lastRenderedPageBreak/>
        <w:t>At least four (4) participating Member States sign the MRA for Conformity Assessment in key Food Staples</w:t>
      </w:r>
      <w:r w:rsidR="008216FB" w:rsidRPr="008216FB">
        <w:rPr>
          <w:rFonts w:cstheme="minorHAnsi"/>
          <w:sz w:val="22"/>
          <w:szCs w:val="22"/>
          <w:lang w:val="en-GB"/>
        </w:rPr>
        <w:t xml:space="preserve"> </w:t>
      </w:r>
      <w:r w:rsidR="008216FB">
        <w:rPr>
          <w:rFonts w:cstheme="minorHAnsi"/>
          <w:sz w:val="22"/>
          <w:szCs w:val="22"/>
          <w:lang w:val="en-GB"/>
        </w:rPr>
        <w:t>and general cargo</w:t>
      </w:r>
      <w:r w:rsidRPr="00FE216C">
        <w:rPr>
          <w:rFonts w:cstheme="minorHAnsi"/>
          <w:sz w:val="22"/>
          <w:szCs w:val="22"/>
          <w:lang w:val="en-GB"/>
        </w:rPr>
        <w:t>.</w:t>
      </w:r>
    </w:p>
    <w:p w14:paraId="31751A2A" w14:textId="7AAD3D08" w:rsidR="008628AE" w:rsidRPr="002D37CB" w:rsidRDefault="00DD1B6A" w:rsidP="00232C7F">
      <w:pPr>
        <w:pStyle w:val="NoSpacing"/>
        <w:numPr>
          <w:ilvl w:val="0"/>
          <w:numId w:val="21"/>
        </w:numPr>
        <w:jc w:val="both"/>
        <w:rPr>
          <w:rFonts w:cstheme="minorHAnsi"/>
          <w:sz w:val="22"/>
          <w:szCs w:val="22"/>
          <w:lang w:val="en-GB"/>
        </w:rPr>
      </w:pPr>
      <w:r w:rsidRPr="00FE216C">
        <w:rPr>
          <w:rFonts w:cstheme="minorHAnsi"/>
          <w:sz w:val="22"/>
          <w:szCs w:val="22"/>
        </w:rPr>
        <w:t xml:space="preserve">Enhanced </w:t>
      </w:r>
      <w:r w:rsidRPr="00FE216C">
        <w:rPr>
          <w:rFonts w:cstheme="minorHAnsi"/>
          <w:bCs/>
          <w:iCs/>
          <w:sz w:val="22"/>
          <w:szCs w:val="22"/>
        </w:rPr>
        <w:t>advocacy, awareness creation, information sharing</w:t>
      </w:r>
      <w:r w:rsidR="008749AA">
        <w:rPr>
          <w:rFonts w:cstheme="minorHAnsi"/>
          <w:bCs/>
          <w:iCs/>
          <w:sz w:val="22"/>
          <w:szCs w:val="22"/>
        </w:rPr>
        <w:t>.</w:t>
      </w:r>
    </w:p>
    <w:p w14:paraId="55360127" w14:textId="77777777" w:rsidR="00232C7F" w:rsidRDefault="00232C7F" w:rsidP="00232C7F">
      <w:pPr>
        <w:pStyle w:val="NoSpacing"/>
        <w:jc w:val="both"/>
        <w:rPr>
          <w:rFonts w:cstheme="minorHAnsi"/>
          <w:sz w:val="22"/>
          <w:szCs w:val="22"/>
          <w:lang w:val="en-GB"/>
        </w:rPr>
      </w:pPr>
    </w:p>
    <w:p w14:paraId="34B1962E" w14:textId="1777E514" w:rsidR="001464A3" w:rsidRPr="00FE216C" w:rsidRDefault="001464A3" w:rsidP="00232C7F">
      <w:pPr>
        <w:pStyle w:val="NoSpacing"/>
        <w:jc w:val="both"/>
        <w:rPr>
          <w:rFonts w:cstheme="minorHAnsi"/>
          <w:sz w:val="22"/>
          <w:szCs w:val="22"/>
          <w:lang w:val="en-GB"/>
        </w:rPr>
      </w:pPr>
      <w:r>
        <w:rPr>
          <w:rFonts w:cstheme="minorHAnsi"/>
          <w:sz w:val="22"/>
          <w:szCs w:val="22"/>
          <w:lang w:val="en-GB"/>
        </w:rPr>
        <w:t xml:space="preserve">The project is at advanced stage of implementation with countries finalizing </w:t>
      </w:r>
      <w:r w:rsidR="00B85440">
        <w:rPr>
          <w:rFonts w:cstheme="minorHAnsi"/>
          <w:sz w:val="22"/>
          <w:szCs w:val="22"/>
          <w:lang w:val="en-GB"/>
        </w:rPr>
        <w:t xml:space="preserve">specific MRFs through bilateral negotiations. </w:t>
      </w:r>
      <w:r w:rsidR="00E672B1">
        <w:rPr>
          <w:rFonts w:cstheme="minorHAnsi"/>
          <w:sz w:val="22"/>
          <w:szCs w:val="22"/>
          <w:lang w:val="en-GB"/>
        </w:rPr>
        <w:t xml:space="preserve">However, critical activities such as bilateral negotiation meetings leading to the actual signing of MRAs as well as ensuring post-signing implementation of MRAs require dedicated effort to ensure success. </w:t>
      </w:r>
      <w:r w:rsidR="000D0922">
        <w:rPr>
          <w:rFonts w:cstheme="minorHAnsi"/>
          <w:sz w:val="22"/>
          <w:szCs w:val="22"/>
          <w:lang w:val="en-GB"/>
        </w:rPr>
        <w:t xml:space="preserve">The project is therefore seeking </w:t>
      </w:r>
      <w:r w:rsidR="007108DF">
        <w:rPr>
          <w:rFonts w:cstheme="minorHAnsi"/>
          <w:sz w:val="22"/>
          <w:szCs w:val="22"/>
          <w:lang w:val="en-GB"/>
        </w:rPr>
        <w:t xml:space="preserve">an </w:t>
      </w:r>
      <w:r w:rsidR="00B820E1">
        <w:rPr>
          <w:rFonts w:cstheme="minorHAnsi"/>
          <w:sz w:val="22"/>
          <w:szCs w:val="22"/>
          <w:lang w:val="en-GB"/>
        </w:rPr>
        <w:t xml:space="preserve">experienced and </w:t>
      </w:r>
      <w:r w:rsidR="00B820E1" w:rsidRPr="00112BE1">
        <w:rPr>
          <w:rFonts w:cstheme="minorHAnsi"/>
          <w:sz w:val="22"/>
          <w:szCs w:val="22"/>
          <w:lang w:val="en-GB"/>
        </w:rPr>
        <w:t>well-</w:t>
      </w:r>
      <w:r w:rsidR="00335A91" w:rsidRPr="00112BE1">
        <w:rPr>
          <w:rFonts w:cstheme="minorHAnsi"/>
          <w:sz w:val="22"/>
          <w:szCs w:val="22"/>
          <w:lang w:val="en-GB"/>
        </w:rPr>
        <w:t>networked</w:t>
      </w:r>
      <w:r w:rsidR="00B820E1">
        <w:rPr>
          <w:rFonts w:cstheme="minorHAnsi"/>
          <w:sz w:val="22"/>
          <w:szCs w:val="22"/>
          <w:lang w:val="en-GB"/>
        </w:rPr>
        <w:t xml:space="preserve"> individual</w:t>
      </w:r>
      <w:r w:rsidR="000D0922">
        <w:rPr>
          <w:rFonts w:cstheme="minorHAnsi"/>
          <w:sz w:val="22"/>
          <w:szCs w:val="22"/>
          <w:lang w:val="en-GB"/>
        </w:rPr>
        <w:t xml:space="preserve"> to facilitate country </w:t>
      </w:r>
      <w:r w:rsidR="00861088">
        <w:rPr>
          <w:rFonts w:cstheme="minorHAnsi"/>
          <w:sz w:val="22"/>
          <w:szCs w:val="22"/>
          <w:lang w:val="en-GB"/>
        </w:rPr>
        <w:t xml:space="preserve">level </w:t>
      </w:r>
      <w:r w:rsidR="000D0922">
        <w:rPr>
          <w:rFonts w:cstheme="minorHAnsi"/>
          <w:sz w:val="22"/>
          <w:szCs w:val="22"/>
          <w:lang w:val="en-GB"/>
        </w:rPr>
        <w:t xml:space="preserve">engagements to ensure </w:t>
      </w:r>
      <w:r w:rsidR="00284102">
        <w:rPr>
          <w:rFonts w:cstheme="minorHAnsi"/>
          <w:sz w:val="22"/>
          <w:szCs w:val="22"/>
          <w:lang w:val="en-GB"/>
        </w:rPr>
        <w:t xml:space="preserve">successful signing of the MRAs and </w:t>
      </w:r>
      <w:r w:rsidR="000D0922">
        <w:rPr>
          <w:rFonts w:cstheme="minorHAnsi"/>
          <w:sz w:val="22"/>
          <w:szCs w:val="22"/>
          <w:lang w:val="en-GB"/>
        </w:rPr>
        <w:t>su</w:t>
      </w:r>
      <w:r w:rsidR="00284102">
        <w:rPr>
          <w:rFonts w:cstheme="minorHAnsi"/>
          <w:sz w:val="22"/>
          <w:szCs w:val="22"/>
          <w:lang w:val="en-GB"/>
        </w:rPr>
        <w:t xml:space="preserve">stainable </w:t>
      </w:r>
      <w:r w:rsidR="00861088">
        <w:rPr>
          <w:rFonts w:cstheme="minorHAnsi"/>
          <w:sz w:val="22"/>
          <w:szCs w:val="22"/>
          <w:lang w:val="en-GB"/>
        </w:rPr>
        <w:t xml:space="preserve">post-development stage </w:t>
      </w:r>
      <w:r w:rsidR="00284102">
        <w:rPr>
          <w:rFonts w:cstheme="minorHAnsi"/>
          <w:sz w:val="22"/>
          <w:szCs w:val="22"/>
          <w:lang w:val="en-GB"/>
        </w:rPr>
        <w:t>implementation</w:t>
      </w:r>
      <w:r w:rsidR="00861088">
        <w:rPr>
          <w:rFonts w:cstheme="minorHAnsi"/>
          <w:sz w:val="22"/>
          <w:szCs w:val="22"/>
          <w:lang w:val="en-GB"/>
        </w:rPr>
        <w:t xml:space="preserve"> of the agreement</w:t>
      </w:r>
      <w:r w:rsidR="00677C6B">
        <w:rPr>
          <w:rFonts w:cstheme="minorHAnsi"/>
          <w:sz w:val="22"/>
          <w:szCs w:val="22"/>
          <w:lang w:val="en-GB"/>
        </w:rPr>
        <w:t xml:space="preserve"> in some countries which seem to be struggling and are lagging behind in the </w:t>
      </w:r>
      <w:r w:rsidR="00335A91">
        <w:rPr>
          <w:rFonts w:cstheme="minorHAnsi"/>
          <w:sz w:val="22"/>
          <w:szCs w:val="22"/>
          <w:lang w:val="en-GB"/>
        </w:rPr>
        <w:t xml:space="preserve">MRA </w:t>
      </w:r>
      <w:r w:rsidR="00677C6B">
        <w:rPr>
          <w:rFonts w:cstheme="minorHAnsi"/>
          <w:sz w:val="22"/>
          <w:szCs w:val="22"/>
          <w:lang w:val="en-GB"/>
        </w:rPr>
        <w:t>process</w:t>
      </w:r>
      <w:r w:rsidR="00284102">
        <w:rPr>
          <w:rFonts w:cstheme="minorHAnsi"/>
          <w:sz w:val="22"/>
          <w:szCs w:val="22"/>
          <w:lang w:val="en-GB"/>
        </w:rPr>
        <w:t>.</w:t>
      </w:r>
    </w:p>
    <w:p w14:paraId="578DBA3A" w14:textId="16AC3D98" w:rsidR="002C0BD9" w:rsidRPr="00FE216C" w:rsidRDefault="002C0BD9" w:rsidP="00351E9D">
      <w:pPr>
        <w:spacing w:line="276" w:lineRule="auto"/>
        <w:jc w:val="both"/>
        <w:rPr>
          <w:rFonts w:cstheme="minorHAnsi"/>
        </w:rPr>
      </w:pPr>
    </w:p>
    <w:p w14:paraId="06D71777" w14:textId="77777777" w:rsidR="00335A91" w:rsidRDefault="00C23FB4" w:rsidP="00351E9D">
      <w:pPr>
        <w:spacing w:line="276" w:lineRule="auto"/>
        <w:jc w:val="both"/>
        <w:rPr>
          <w:rFonts w:cstheme="minorHAnsi"/>
          <w:b/>
          <w:bCs/>
          <w:i/>
          <w:iCs/>
        </w:rPr>
      </w:pPr>
      <w:r>
        <w:rPr>
          <w:rFonts w:cstheme="minorHAnsi"/>
          <w:b/>
          <w:bCs/>
          <w:i/>
          <w:iCs/>
        </w:rPr>
        <w:t>S</w:t>
      </w:r>
      <w:r w:rsidR="000E323B">
        <w:rPr>
          <w:rFonts w:cstheme="minorHAnsi"/>
          <w:b/>
          <w:bCs/>
          <w:i/>
          <w:iCs/>
        </w:rPr>
        <w:t xml:space="preserve">cope </w:t>
      </w:r>
      <w:r w:rsidR="00E672B1">
        <w:rPr>
          <w:rFonts w:cstheme="minorHAnsi"/>
          <w:b/>
          <w:bCs/>
          <w:i/>
          <w:iCs/>
        </w:rPr>
        <w:t xml:space="preserve">of Work </w:t>
      </w:r>
      <w:r w:rsidR="00E6704D" w:rsidRPr="00B0462B">
        <w:rPr>
          <w:rFonts w:cstheme="minorHAnsi"/>
          <w:b/>
          <w:bCs/>
          <w:i/>
          <w:iCs/>
        </w:rPr>
        <w:t xml:space="preserve">   </w:t>
      </w:r>
    </w:p>
    <w:p w14:paraId="0AB25B5E" w14:textId="1DE8101D" w:rsidR="00262D27" w:rsidRPr="00D77282" w:rsidRDefault="00262D27" w:rsidP="00351E9D">
      <w:pPr>
        <w:spacing w:line="276" w:lineRule="auto"/>
        <w:jc w:val="both"/>
        <w:rPr>
          <w:rFonts w:cstheme="minorHAnsi"/>
        </w:rPr>
      </w:pPr>
      <w:r w:rsidRPr="00D77282">
        <w:rPr>
          <w:rFonts w:cstheme="minorHAnsi"/>
        </w:rPr>
        <w:t xml:space="preserve"> </w:t>
      </w:r>
      <w:r w:rsidR="00335A91">
        <w:rPr>
          <w:rFonts w:cstheme="minorHAnsi"/>
        </w:rPr>
        <w:t xml:space="preserve">Overall support to the National Technical Working Group (NTWG) </w:t>
      </w:r>
      <w:r w:rsidR="00335A91" w:rsidRPr="00335A91">
        <w:rPr>
          <w:rFonts w:cstheme="minorHAnsi"/>
        </w:rPr>
        <w:t xml:space="preserve">to carry out </w:t>
      </w:r>
      <w:r w:rsidR="00335A91">
        <w:rPr>
          <w:rFonts w:cstheme="minorHAnsi"/>
        </w:rPr>
        <w:t xml:space="preserve">its mandate and responsibilities </w:t>
      </w:r>
      <w:r w:rsidR="00335A91" w:rsidRPr="00335A91">
        <w:rPr>
          <w:rFonts w:cstheme="minorHAnsi"/>
        </w:rPr>
        <w:t xml:space="preserve">efficiently and </w:t>
      </w:r>
      <w:r w:rsidR="00335A91">
        <w:rPr>
          <w:rFonts w:cstheme="minorHAnsi"/>
        </w:rPr>
        <w:t>effectively</w:t>
      </w:r>
    </w:p>
    <w:tbl>
      <w:tblPr>
        <w:tblStyle w:val="GridTable4-Accent6"/>
        <w:tblW w:w="0" w:type="auto"/>
        <w:tblLook w:val="04A0" w:firstRow="1" w:lastRow="0" w:firstColumn="1" w:lastColumn="0" w:noHBand="0" w:noVBand="1"/>
      </w:tblPr>
      <w:tblGrid>
        <w:gridCol w:w="715"/>
        <w:gridCol w:w="2160"/>
        <w:gridCol w:w="6475"/>
      </w:tblGrid>
      <w:tr w:rsidR="00E672B1" w:rsidRPr="002156E4" w14:paraId="14280C26" w14:textId="77777777" w:rsidTr="001B17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6575FCA2" w14:textId="77777777" w:rsidR="00E672B1" w:rsidRPr="002156E4" w:rsidRDefault="00E672B1" w:rsidP="00351E9D">
            <w:pPr>
              <w:spacing w:line="276" w:lineRule="auto"/>
              <w:jc w:val="both"/>
              <w:rPr>
                <w:rFonts w:cstheme="minorHAnsi"/>
                <w:b w:val="0"/>
                <w:bCs w:val="0"/>
                <w:i/>
                <w:iCs/>
                <w:sz w:val="20"/>
                <w:szCs w:val="20"/>
              </w:rPr>
            </w:pPr>
          </w:p>
        </w:tc>
        <w:tc>
          <w:tcPr>
            <w:tcW w:w="2160" w:type="dxa"/>
          </w:tcPr>
          <w:p w14:paraId="7A69D23A" w14:textId="1C70769D" w:rsidR="00E672B1" w:rsidRPr="002156E4" w:rsidRDefault="00E672B1" w:rsidP="00351E9D">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i/>
                <w:iCs/>
                <w:sz w:val="20"/>
                <w:szCs w:val="20"/>
              </w:rPr>
            </w:pPr>
            <w:r w:rsidRPr="002156E4">
              <w:rPr>
                <w:rFonts w:cstheme="minorHAnsi"/>
                <w:b w:val="0"/>
                <w:bCs w:val="0"/>
                <w:i/>
                <w:iCs/>
                <w:sz w:val="20"/>
                <w:szCs w:val="20"/>
              </w:rPr>
              <w:t>Activity Area</w:t>
            </w:r>
          </w:p>
        </w:tc>
        <w:tc>
          <w:tcPr>
            <w:tcW w:w="6475" w:type="dxa"/>
          </w:tcPr>
          <w:p w14:paraId="48B2F32E" w14:textId="2391DB03" w:rsidR="00E672B1" w:rsidRPr="002156E4" w:rsidRDefault="00E672B1" w:rsidP="00351E9D">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i/>
                <w:iCs/>
                <w:sz w:val="20"/>
                <w:szCs w:val="20"/>
              </w:rPr>
            </w:pPr>
            <w:r w:rsidRPr="002156E4">
              <w:rPr>
                <w:rFonts w:cstheme="minorHAnsi"/>
                <w:b w:val="0"/>
                <w:bCs w:val="0"/>
                <w:i/>
                <w:iCs/>
                <w:sz w:val="20"/>
                <w:szCs w:val="20"/>
              </w:rPr>
              <w:t>Activities</w:t>
            </w:r>
          </w:p>
        </w:tc>
      </w:tr>
      <w:tr w:rsidR="001B177B" w:rsidRPr="002156E4" w14:paraId="26A69A49" w14:textId="77777777" w:rsidTr="001B1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Merge w:val="restart"/>
          </w:tcPr>
          <w:p w14:paraId="54EB4856" w14:textId="77777777" w:rsidR="001B177B" w:rsidRDefault="001B177B" w:rsidP="00351E9D">
            <w:pPr>
              <w:spacing w:line="276" w:lineRule="auto"/>
              <w:jc w:val="both"/>
              <w:rPr>
                <w:rFonts w:cstheme="minorHAnsi"/>
                <w:i/>
                <w:iCs/>
                <w:sz w:val="20"/>
                <w:szCs w:val="20"/>
              </w:rPr>
            </w:pPr>
          </w:p>
          <w:p w14:paraId="5EA8C4CF" w14:textId="77777777" w:rsidR="001B177B" w:rsidRDefault="001B177B" w:rsidP="00351E9D">
            <w:pPr>
              <w:spacing w:line="276" w:lineRule="auto"/>
              <w:jc w:val="both"/>
              <w:rPr>
                <w:rFonts w:cstheme="minorHAnsi"/>
                <w:i/>
                <w:iCs/>
                <w:sz w:val="20"/>
                <w:szCs w:val="20"/>
              </w:rPr>
            </w:pPr>
          </w:p>
          <w:p w14:paraId="24CF927D" w14:textId="77777777" w:rsidR="001B177B" w:rsidRDefault="001B177B" w:rsidP="00351E9D">
            <w:pPr>
              <w:spacing w:line="276" w:lineRule="auto"/>
              <w:jc w:val="both"/>
              <w:rPr>
                <w:rFonts w:cstheme="minorHAnsi"/>
                <w:i/>
                <w:iCs/>
                <w:sz w:val="20"/>
                <w:szCs w:val="20"/>
              </w:rPr>
            </w:pPr>
          </w:p>
          <w:p w14:paraId="349483EC" w14:textId="77777777" w:rsidR="001B177B" w:rsidRDefault="001B177B" w:rsidP="00351E9D">
            <w:pPr>
              <w:spacing w:line="276" w:lineRule="auto"/>
              <w:jc w:val="both"/>
              <w:rPr>
                <w:rFonts w:cstheme="minorHAnsi"/>
                <w:i/>
                <w:iCs/>
                <w:sz w:val="20"/>
                <w:szCs w:val="20"/>
              </w:rPr>
            </w:pPr>
          </w:p>
          <w:p w14:paraId="4B45B00D" w14:textId="77777777" w:rsidR="001B177B" w:rsidRDefault="001B177B" w:rsidP="00351E9D">
            <w:pPr>
              <w:spacing w:line="276" w:lineRule="auto"/>
              <w:jc w:val="both"/>
              <w:rPr>
                <w:rFonts w:cstheme="minorHAnsi"/>
                <w:i/>
                <w:iCs/>
                <w:sz w:val="20"/>
                <w:szCs w:val="20"/>
              </w:rPr>
            </w:pPr>
          </w:p>
          <w:p w14:paraId="5F66B883" w14:textId="4095BB78" w:rsidR="001B177B" w:rsidRPr="002156E4" w:rsidRDefault="001B177B" w:rsidP="00351E9D">
            <w:pPr>
              <w:spacing w:line="276" w:lineRule="auto"/>
              <w:jc w:val="both"/>
              <w:rPr>
                <w:rFonts w:cstheme="minorHAnsi"/>
                <w:b w:val="0"/>
                <w:bCs w:val="0"/>
                <w:i/>
                <w:iCs/>
                <w:sz w:val="20"/>
                <w:szCs w:val="20"/>
              </w:rPr>
            </w:pPr>
            <w:r w:rsidRPr="002156E4">
              <w:rPr>
                <w:rFonts w:cstheme="minorHAnsi"/>
                <w:b w:val="0"/>
                <w:bCs w:val="0"/>
                <w:i/>
                <w:iCs/>
                <w:sz w:val="20"/>
                <w:szCs w:val="20"/>
              </w:rPr>
              <w:t>1</w:t>
            </w:r>
          </w:p>
        </w:tc>
        <w:tc>
          <w:tcPr>
            <w:tcW w:w="2160" w:type="dxa"/>
            <w:vMerge w:val="restart"/>
          </w:tcPr>
          <w:p w14:paraId="1707E4BE" w14:textId="77777777" w:rsidR="001B177B" w:rsidRDefault="001B177B" w:rsidP="00351E9D">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p>
          <w:p w14:paraId="19B8A4F6" w14:textId="77777777" w:rsidR="001B177B" w:rsidRDefault="001B177B" w:rsidP="00351E9D">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p>
          <w:p w14:paraId="3664A699" w14:textId="77777777" w:rsidR="001B177B" w:rsidRDefault="001B177B" w:rsidP="00351E9D">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p>
          <w:p w14:paraId="2465BFF8" w14:textId="77777777" w:rsidR="001B177B" w:rsidRDefault="001B177B" w:rsidP="00351E9D">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p>
          <w:p w14:paraId="181EB9C1" w14:textId="77777777" w:rsidR="001B177B" w:rsidRDefault="001B177B" w:rsidP="00351E9D">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p>
          <w:p w14:paraId="02C167F7" w14:textId="6E824F07" w:rsidR="001B177B" w:rsidRPr="002156E4" w:rsidRDefault="001B177B" w:rsidP="00351E9D">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r w:rsidRPr="002156E4">
              <w:rPr>
                <w:rFonts w:cstheme="minorHAnsi"/>
                <w:b/>
                <w:bCs/>
                <w:i/>
                <w:iCs/>
                <w:sz w:val="20"/>
                <w:szCs w:val="20"/>
              </w:rPr>
              <w:t>MRA Negotiations &amp; Signing</w:t>
            </w:r>
          </w:p>
        </w:tc>
        <w:tc>
          <w:tcPr>
            <w:tcW w:w="6475" w:type="dxa"/>
          </w:tcPr>
          <w:p w14:paraId="50BE1132" w14:textId="431E516B" w:rsidR="001B177B" w:rsidRPr="002156E4" w:rsidRDefault="001B177B" w:rsidP="00351E9D">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56E4">
              <w:rPr>
                <w:rFonts w:cstheme="minorHAnsi"/>
                <w:sz w:val="20"/>
                <w:szCs w:val="20"/>
              </w:rPr>
              <w:t>Facilitate wide and deep consultations and engagements with government, regulatory authorities, and private sector involved in trade to popularize the initiative</w:t>
            </w:r>
            <w:r w:rsidR="00B532E5">
              <w:rPr>
                <w:rFonts w:cstheme="minorHAnsi"/>
                <w:sz w:val="20"/>
                <w:szCs w:val="20"/>
              </w:rPr>
              <w:t xml:space="preserve"> </w:t>
            </w:r>
            <w:r w:rsidR="00A32BCA">
              <w:rPr>
                <w:rFonts w:cstheme="minorHAnsi"/>
                <w:sz w:val="20"/>
                <w:szCs w:val="20"/>
              </w:rPr>
              <w:t>to ensure</w:t>
            </w:r>
            <w:r w:rsidRPr="002156E4">
              <w:rPr>
                <w:rFonts w:cstheme="minorHAnsi"/>
                <w:sz w:val="20"/>
                <w:szCs w:val="20"/>
              </w:rPr>
              <w:t xml:space="preserve"> necessary understanding and </w:t>
            </w:r>
            <w:r w:rsidR="00A32BCA">
              <w:rPr>
                <w:rFonts w:cstheme="minorHAnsi"/>
                <w:sz w:val="20"/>
                <w:szCs w:val="20"/>
              </w:rPr>
              <w:t>participation in the process</w:t>
            </w:r>
            <w:r w:rsidR="00A32BCA" w:rsidRPr="002156E4">
              <w:rPr>
                <w:rFonts w:cstheme="minorHAnsi"/>
                <w:sz w:val="20"/>
                <w:szCs w:val="20"/>
              </w:rPr>
              <w:t xml:space="preserve"> </w:t>
            </w:r>
            <w:r w:rsidR="00C00225">
              <w:rPr>
                <w:rFonts w:cstheme="minorHAnsi"/>
                <w:sz w:val="20"/>
                <w:szCs w:val="20"/>
              </w:rPr>
              <w:t xml:space="preserve">leading to the </w:t>
            </w:r>
            <w:r w:rsidRPr="002156E4">
              <w:rPr>
                <w:rFonts w:cstheme="minorHAnsi"/>
                <w:sz w:val="20"/>
                <w:szCs w:val="20"/>
              </w:rPr>
              <w:t>signing of the mutual recognition agreement (MRA).</w:t>
            </w:r>
            <w:r w:rsidR="007A3870">
              <w:rPr>
                <w:rFonts w:cstheme="minorHAnsi"/>
                <w:sz w:val="20"/>
                <w:szCs w:val="20"/>
              </w:rPr>
              <w:t xml:space="preserve"> This should include high-level engagements with Ministers</w:t>
            </w:r>
            <w:r w:rsidR="00460330">
              <w:rPr>
                <w:rFonts w:cstheme="minorHAnsi"/>
                <w:sz w:val="20"/>
                <w:szCs w:val="20"/>
              </w:rPr>
              <w:t xml:space="preserve">/PSs of Trade, Agriculture, and Justice to ensure adequate </w:t>
            </w:r>
            <w:r w:rsidR="00A16D3D">
              <w:rPr>
                <w:rFonts w:cstheme="minorHAnsi"/>
                <w:sz w:val="20"/>
                <w:szCs w:val="20"/>
              </w:rPr>
              <w:t xml:space="preserve">understanding of the issues, buy-in, </w:t>
            </w:r>
            <w:r w:rsidR="00A6400B">
              <w:rPr>
                <w:rFonts w:cstheme="minorHAnsi"/>
                <w:sz w:val="20"/>
                <w:szCs w:val="20"/>
              </w:rPr>
              <w:t xml:space="preserve">and </w:t>
            </w:r>
            <w:r w:rsidR="00A16D3D">
              <w:rPr>
                <w:rFonts w:cstheme="minorHAnsi"/>
                <w:sz w:val="20"/>
                <w:szCs w:val="20"/>
              </w:rPr>
              <w:t>guidance</w:t>
            </w:r>
            <w:r w:rsidR="006B48D7">
              <w:rPr>
                <w:rFonts w:cstheme="minorHAnsi"/>
                <w:sz w:val="20"/>
                <w:szCs w:val="20"/>
              </w:rPr>
              <w:t xml:space="preserve"> (if necessary)</w:t>
            </w:r>
            <w:r w:rsidR="00A16D3D">
              <w:rPr>
                <w:rFonts w:cstheme="minorHAnsi"/>
                <w:sz w:val="20"/>
                <w:szCs w:val="20"/>
              </w:rPr>
              <w:t xml:space="preserve"> to ensure signing of the MRA </w:t>
            </w:r>
            <w:r w:rsidR="00A6400B">
              <w:rPr>
                <w:rFonts w:cstheme="minorHAnsi"/>
                <w:sz w:val="20"/>
                <w:szCs w:val="20"/>
              </w:rPr>
              <w:t xml:space="preserve">once technically concluded. </w:t>
            </w:r>
          </w:p>
        </w:tc>
      </w:tr>
      <w:tr w:rsidR="001B177B" w:rsidRPr="002156E4" w14:paraId="355D668F" w14:textId="77777777" w:rsidTr="001B177B">
        <w:tc>
          <w:tcPr>
            <w:cnfStyle w:val="001000000000" w:firstRow="0" w:lastRow="0" w:firstColumn="1" w:lastColumn="0" w:oddVBand="0" w:evenVBand="0" w:oddHBand="0" w:evenHBand="0" w:firstRowFirstColumn="0" w:firstRowLastColumn="0" w:lastRowFirstColumn="0" w:lastRowLastColumn="0"/>
            <w:tcW w:w="715" w:type="dxa"/>
            <w:vMerge/>
          </w:tcPr>
          <w:p w14:paraId="6079BB4F" w14:textId="77777777" w:rsidR="001B177B" w:rsidRPr="002156E4" w:rsidRDefault="001B177B" w:rsidP="00351E9D">
            <w:pPr>
              <w:spacing w:line="276" w:lineRule="auto"/>
              <w:jc w:val="both"/>
              <w:rPr>
                <w:rFonts w:cstheme="minorHAnsi"/>
                <w:b w:val="0"/>
                <w:bCs w:val="0"/>
                <w:i/>
                <w:iCs/>
                <w:sz w:val="20"/>
                <w:szCs w:val="20"/>
              </w:rPr>
            </w:pPr>
          </w:p>
        </w:tc>
        <w:tc>
          <w:tcPr>
            <w:tcW w:w="2160" w:type="dxa"/>
            <w:vMerge/>
          </w:tcPr>
          <w:p w14:paraId="3913A8E8" w14:textId="77777777" w:rsidR="001B177B" w:rsidRPr="002156E4" w:rsidRDefault="001B177B" w:rsidP="00351E9D">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i/>
                <w:iCs/>
                <w:sz w:val="20"/>
                <w:szCs w:val="20"/>
              </w:rPr>
            </w:pPr>
          </w:p>
        </w:tc>
        <w:tc>
          <w:tcPr>
            <w:tcW w:w="6475" w:type="dxa"/>
          </w:tcPr>
          <w:p w14:paraId="424392A4" w14:textId="35CC22E5" w:rsidR="001B177B" w:rsidRPr="002156E4" w:rsidRDefault="001B177B" w:rsidP="00351E9D">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156E4">
              <w:rPr>
                <w:rFonts w:cstheme="minorHAnsi"/>
                <w:sz w:val="20"/>
                <w:szCs w:val="20"/>
              </w:rPr>
              <w:t xml:space="preserve">Proactively </w:t>
            </w:r>
            <w:r w:rsidR="006347D9">
              <w:rPr>
                <w:rFonts w:cstheme="minorHAnsi"/>
                <w:sz w:val="20"/>
                <w:szCs w:val="20"/>
              </w:rPr>
              <w:t xml:space="preserve">follow </w:t>
            </w:r>
            <w:r w:rsidR="00F64BB9">
              <w:rPr>
                <w:rFonts w:cstheme="minorHAnsi"/>
                <w:sz w:val="20"/>
                <w:szCs w:val="20"/>
              </w:rPr>
              <w:t>up on agreed actions from national and bilateral meetings</w:t>
            </w:r>
            <w:r w:rsidR="003760C8">
              <w:rPr>
                <w:rFonts w:cstheme="minorHAnsi"/>
                <w:sz w:val="20"/>
                <w:szCs w:val="20"/>
              </w:rPr>
              <w:t xml:space="preserve"> to ensure their execution</w:t>
            </w:r>
            <w:r w:rsidR="00F64BB9">
              <w:rPr>
                <w:rFonts w:cstheme="minorHAnsi"/>
                <w:sz w:val="20"/>
                <w:szCs w:val="20"/>
              </w:rPr>
              <w:t xml:space="preserve"> and report to COMESA </w:t>
            </w:r>
            <w:r w:rsidR="00A841D9">
              <w:rPr>
                <w:rFonts w:cstheme="minorHAnsi"/>
                <w:sz w:val="20"/>
                <w:szCs w:val="20"/>
              </w:rPr>
              <w:t>and AGRA</w:t>
            </w:r>
            <w:r w:rsidRPr="002156E4">
              <w:rPr>
                <w:rFonts w:cstheme="minorHAnsi"/>
                <w:sz w:val="20"/>
                <w:szCs w:val="20"/>
              </w:rPr>
              <w:t xml:space="preserve">. </w:t>
            </w:r>
          </w:p>
        </w:tc>
      </w:tr>
      <w:tr w:rsidR="001B177B" w:rsidRPr="002156E4" w14:paraId="24319008" w14:textId="77777777" w:rsidTr="001B1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Merge/>
          </w:tcPr>
          <w:p w14:paraId="5B3452A4" w14:textId="77777777" w:rsidR="001B177B" w:rsidRPr="002156E4" w:rsidRDefault="001B177B" w:rsidP="00351E9D">
            <w:pPr>
              <w:spacing w:line="276" w:lineRule="auto"/>
              <w:jc w:val="both"/>
              <w:rPr>
                <w:rFonts w:cstheme="minorHAnsi"/>
                <w:b w:val="0"/>
                <w:bCs w:val="0"/>
                <w:i/>
                <w:iCs/>
                <w:sz w:val="20"/>
                <w:szCs w:val="20"/>
              </w:rPr>
            </w:pPr>
          </w:p>
        </w:tc>
        <w:tc>
          <w:tcPr>
            <w:tcW w:w="2160" w:type="dxa"/>
            <w:vMerge/>
          </w:tcPr>
          <w:p w14:paraId="01533D7E" w14:textId="4703FDF1" w:rsidR="001B177B" w:rsidRPr="002156E4" w:rsidRDefault="001B177B" w:rsidP="00351E9D">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p>
        </w:tc>
        <w:tc>
          <w:tcPr>
            <w:tcW w:w="6475" w:type="dxa"/>
          </w:tcPr>
          <w:p w14:paraId="716AAB11" w14:textId="0F0CA9CB" w:rsidR="001B177B" w:rsidRPr="002156E4" w:rsidRDefault="002B1592" w:rsidP="00351E9D">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56E4">
              <w:rPr>
                <w:rFonts w:cstheme="minorHAnsi"/>
                <w:sz w:val="20"/>
                <w:szCs w:val="20"/>
              </w:rPr>
              <w:t xml:space="preserve">Support COMESA </w:t>
            </w:r>
            <w:r>
              <w:rPr>
                <w:rFonts w:cstheme="minorHAnsi"/>
                <w:sz w:val="20"/>
                <w:szCs w:val="20"/>
              </w:rPr>
              <w:t xml:space="preserve">and Malawi </w:t>
            </w:r>
            <w:r w:rsidRPr="002156E4">
              <w:rPr>
                <w:rFonts w:cstheme="minorHAnsi"/>
                <w:sz w:val="20"/>
                <w:szCs w:val="20"/>
              </w:rPr>
              <w:t xml:space="preserve">to convene relevant meetings including the country-level </w:t>
            </w:r>
            <w:r>
              <w:rPr>
                <w:rFonts w:cstheme="minorHAnsi"/>
                <w:sz w:val="20"/>
                <w:szCs w:val="20"/>
              </w:rPr>
              <w:t>National Technical Working Group (NTWG)</w:t>
            </w:r>
            <w:r w:rsidRPr="002156E4">
              <w:rPr>
                <w:rFonts w:cstheme="minorHAnsi"/>
                <w:sz w:val="20"/>
                <w:szCs w:val="20"/>
              </w:rPr>
              <w:t xml:space="preserve"> for </w:t>
            </w:r>
            <w:r>
              <w:rPr>
                <w:rFonts w:cstheme="minorHAnsi"/>
                <w:sz w:val="20"/>
                <w:szCs w:val="20"/>
              </w:rPr>
              <w:t xml:space="preserve">the </w:t>
            </w:r>
            <w:r w:rsidRPr="002156E4">
              <w:rPr>
                <w:rFonts w:cstheme="minorHAnsi"/>
                <w:sz w:val="20"/>
                <w:szCs w:val="20"/>
              </w:rPr>
              <w:t>development and implementation of MRF/</w:t>
            </w:r>
            <w:r>
              <w:rPr>
                <w:rFonts w:cstheme="minorHAnsi"/>
                <w:sz w:val="20"/>
                <w:szCs w:val="20"/>
              </w:rPr>
              <w:t>MR</w:t>
            </w:r>
            <w:r w:rsidRPr="002156E4">
              <w:rPr>
                <w:rFonts w:cstheme="minorHAnsi"/>
                <w:sz w:val="20"/>
                <w:szCs w:val="20"/>
              </w:rPr>
              <w:t>A between the implementing partners.</w:t>
            </w:r>
          </w:p>
        </w:tc>
      </w:tr>
      <w:tr w:rsidR="001B177B" w:rsidRPr="002156E4" w14:paraId="17E2790C" w14:textId="77777777" w:rsidTr="001B177B">
        <w:tc>
          <w:tcPr>
            <w:cnfStyle w:val="001000000000" w:firstRow="0" w:lastRow="0" w:firstColumn="1" w:lastColumn="0" w:oddVBand="0" w:evenVBand="0" w:oddHBand="0" w:evenHBand="0" w:firstRowFirstColumn="0" w:firstRowLastColumn="0" w:lastRowFirstColumn="0" w:lastRowLastColumn="0"/>
            <w:tcW w:w="715" w:type="dxa"/>
            <w:vMerge/>
          </w:tcPr>
          <w:p w14:paraId="09900965" w14:textId="77777777" w:rsidR="001B177B" w:rsidRPr="002156E4" w:rsidRDefault="001B177B" w:rsidP="00351E9D">
            <w:pPr>
              <w:spacing w:line="276" w:lineRule="auto"/>
              <w:jc w:val="both"/>
              <w:rPr>
                <w:rFonts w:cstheme="minorHAnsi"/>
                <w:b w:val="0"/>
                <w:bCs w:val="0"/>
                <w:i/>
                <w:iCs/>
                <w:sz w:val="20"/>
                <w:szCs w:val="20"/>
              </w:rPr>
            </w:pPr>
          </w:p>
        </w:tc>
        <w:tc>
          <w:tcPr>
            <w:tcW w:w="2160" w:type="dxa"/>
            <w:vMerge/>
          </w:tcPr>
          <w:p w14:paraId="75C5231B" w14:textId="77777777" w:rsidR="001B177B" w:rsidRPr="002156E4" w:rsidRDefault="001B177B" w:rsidP="00351E9D">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i/>
                <w:iCs/>
                <w:sz w:val="20"/>
                <w:szCs w:val="20"/>
              </w:rPr>
            </w:pPr>
          </w:p>
        </w:tc>
        <w:tc>
          <w:tcPr>
            <w:tcW w:w="6475" w:type="dxa"/>
          </w:tcPr>
          <w:p w14:paraId="26E0C496" w14:textId="5145376F" w:rsidR="001B177B" w:rsidRPr="002156E4" w:rsidRDefault="002B1592" w:rsidP="002156E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156E4">
              <w:rPr>
                <w:rFonts w:cstheme="minorHAnsi"/>
                <w:sz w:val="20"/>
                <w:szCs w:val="20"/>
              </w:rPr>
              <w:t xml:space="preserve">Serve as the liaison between Malawi and COMESA/AGRA on all matters related to the finalization </w:t>
            </w:r>
            <w:r>
              <w:rPr>
                <w:rFonts w:cstheme="minorHAnsi"/>
                <w:sz w:val="20"/>
                <w:szCs w:val="20"/>
              </w:rPr>
              <w:t xml:space="preserve">and implementation </w:t>
            </w:r>
            <w:r w:rsidRPr="002156E4">
              <w:rPr>
                <w:rFonts w:cstheme="minorHAnsi"/>
                <w:sz w:val="20"/>
                <w:szCs w:val="20"/>
              </w:rPr>
              <w:t>of the MRA. This may include helping answer inquiries that the donor (FCDO) may make pertaining to the project in Malawi.</w:t>
            </w:r>
          </w:p>
        </w:tc>
      </w:tr>
      <w:tr w:rsidR="009715CA" w:rsidRPr="002156E4" w14:paraId="20F17FFC" w14:textId="77777777" w:rsidTr="001B1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Merge w:val="restart"/>
          </w:tcPr>
          <w:p w14:paraId="78E8B414" w14:textId="77777777" w:rsidR="009715CA" w:rsidRDefault="009715CA" w:rsidP="00351E9D">
            <w:pPr>
              <w:spacing w:line="276" w:lineRule="auto"/>
              <w:jc w:val="both"/>
              <w:rPr>
                <w:rFonts w:cstheme="minorHAnsi"/>
                <w:i/>
                <w:iCs/>
                <w:sz w:val="20"/>
                <w:szCs w:val="20"/>
              </w:rPr>
            </w:pPr>
          </w:p>
          <w:p w14:paraId="58AF3556" w14:textId="77777777" w:rsidR="009715CA" w:rsidRDefault="009715CA" w:rsidP="00351E9D">
            <w:pPr>
              <w:spacing w:line="276" w:lineRule="auto"/>
              <w:jc w:val="both"/>
              <w:rPr>
                <w:rFonts w:cstheme="minorHAnsi"/>
                <w:i/>
                <w:iCs/>
                <w:sz w:val="20"/>
                <w:szCs w:val="20"/>
              </w:rPr>
            </w:pPr>
          </w:p>
          <w:p w14:paraId="503CAE5B" w14:textId="77777777" w:rsidR="009715CA" w:rsidRDefault="009715CA" w:rsidP="00351E9D">
            <w:pPr>
              <w:spacing w:line="276" w:lineRule="auto"/>
              <w:jc w:val="both"/>
              <w:rPr>
                <w:rFonts w:cstheme="minorHAnsi"/>
                <w:i/>
                <w:iCs/>
                <w:sz w:val="20"/>
                <w:szCs w:val="20"/>
              </w:rPr>
            </w:pPr>
          </w:p>
          <w:p w14:paraId="0048539E" w14:textId="77777777" w:rsidR="009715CA" w:rsidRDefault="009715CA" w:rsidP="00351E9D">
            <w:pPr>
              <w:spacing w:line="276" w:lineRule="auto"/>
              <w:jc w:val="both"/>
              <w:rPr>
                <w:rFonts w:cstheme="minorHAnsi"/>
                <w:i/>
                <w:iCs/>
                <w:sz w:val="20"/>
                <w:szCs w:val="20"/>
              </w:rPr>
            </w:pPr>
          </w:p>
          <w:p w14:paraId="6A7E797C" w14:textId="77777777" w:rsidR="009715CA" w:rsidRDefault="009715CA" w:rsidP="00351E9D">
            <w:pPr>
              <w:spacing w:line="276" w:lineRule="auto"/>
              <w:jc w:val="both"/>
              <w:rPr>
                <w:rFonts w:cstheme="minorHAnsi"/>
                <w:i/>
                <w:iCs/>
                <w:sz w:val="20"/>
                <w:szCs w:val="20"/>
              </w:rPr>
            </w:pPr>
          </w:p>
          <w:p w14:paraId="696CA2E9" w14:textId="71BC93C9" w:rsidR="009715CA" w:rsidRPr="002156E4" w:rsidRDefault="009715CA" w:rsidP="00351E9D">
            <w:pPr>
              <w:spacing w:line="276" w:lineRule="auto"/>
              <w:jc w:val="both"/>
              <w:rPr>
                <w:rFonts w:cstheme="minorHAnsi"/>
                <w:b w:val="0"/>
                <w:bCs w:val="0"/>
                <w:i/>
                <w:iCs/>
                <w:sz w:val="20"/>
                <w:szCs w:val="20"/>
              </w:rPr>
            </w:pPr>
            <w:r>
              <w:rPr>
                <w:rFonts w:cstheme="minorHAnsi"/>
                <w:b w:val="0"/>
                <w:bCs w:val="0"/>
                <w:i/>
                <w:iCs/>
                <w:sz w:val="20"/>
                <w:szCs w:val="20"/>
              </w:rPr>
              <w:t>2</w:t>
            </w:r>
          </w:p>
        </w:tc>
        <w:tc>
          <w:tcPr>
            <w:tcW w:w="2160" w:type="dxa"/>
            <w:vMerge w:val="restart"/>
          </w:tcPr>
          <w:p w14:paraId="5B923E1E" w14:textId="77777777" w:rsidR="009715CA" w:rsidRDefault="009715CA" w:rsidP="00351E9D">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p>
          <w:p w14:paraId="2446DD03" w14:textId="77777777" w:rsidR="009715CA" w:rsidRDefault="009715CA" w:rsidP="00351E9D">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p>
          <w:p w14:paraId="17A9822E" w14:textId="77777777" w:rsidR="009715CA" w:rsidRDefault="009715CA" w:rsidP="00351E9D">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p>
          <w:p w14:paraId="11D8E158" w14:textId="77777777" w:rsidR="009715CA" w:rsidRDefault="009715CA" w:rsidP="00351E9D">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p>
          <w:p w14:paraId="4CD658FD" w14:textId="77777777" w:rsidR="009715CA" w:rsidRDefault="009715CA" w:rsidP="00351E9D">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p>
          <w:p w14:paraId="07B2BE2F" w14:textId="4849A89D" w:rsidR="009715CA" w:rsidRPr="002156E4" w:rsidRDefault="009715CA" w:rsidP="00351E9D">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r w:rsidRPr="002156E4">
              <w:rPr>
                <w:rFonts w:cstheme="minorHAnsi"/>
                <w:b/>
                <w:bCs/>
                <w:i/>
                <w:iCs/>
                <w:sz w:val="20"/>
                <w:szCs w:val="20"/>
              </w:rPr>
              <w:t>MRA Implementation</w:t>
            </w:r>
          </w:p>
        </w:tc>
        <w:tc>
          <w:tcPr>
            <w:tcW w:w="6475" w:type="dxa"/>
          </w:tcPr>
          <w:p w14:paraId="6F36B603" w14:textId="7D216D2A" w:rsidR="009715CA" w:rsidRPr="002156E4" w:rsidRDefault="009715CA" w:rsidP="002156E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L</w:t>
            </w:r>
            <w:r w:rsidRPr="002156E4">
              <w:rPr>
                <w:rFonts w:cstheme="minorHAnsi"/>
                <w:sz w:val="20"/>
                <w:szCs w:val="20"/>
              </w:rPr>
              <w:t>ead the development of roadmap for the sustainability of the MRF and MRA implementation after signing.</w:t>
            </w:r>
          </w:p>
        </w:tc>
      </w:tr>
      <w:tr w:rsidR="009715CA" w:rsidRPr="002156E4" w14:paraId="6745A3A1" w14:textId="77777777" w:rsidTr="009715CA">
        <w:trPr>
          <w:trHeight w:val="1214"/>
        </w:trPr>
        <w:tc>
          <w:tcPr>
            <w:cnfStyle w:val="001000000000" w:firstRow="0" w:lastRow="0" w:firstColumn="1" w:lastColumn="0" w:oddVBand="0" w:evenVBand="0" w:oddHBand="0" w:evenHBand="0" w:firstRowFirstColumn="0" w:firstRowLastColumn="0" w:lastRowFirstColumn="0" w:lastRowLastColumn="0"/>
            <w:tcW w:w="715" w:type="dxa"/>
            <w:vMerge/>
            <w:shd w:val="clear" w:color="auto" w:fill="E2EFD9" w:themeFill="accent6" w:themeFillTint="33"/>
          </w:tcPr>
          <w:p w14:paraId="484965A2" w14:textId="4D533BE7" w:rsidR="009715CA" w:rsidRPr="002156E4" w:rsidRDefault="009715CA" w:rsidP="002156E4">
            <w:pPr>
              <w:spacing w:line="276" w:lineRule="auto"/>
              <w:jc w:val="both"/>
              <w:rPr>
                <w:rFonts w:cstheme="minorHAnsi"/>
                <w:b w:val="0"/>
                <w:bCs w:val="0"/>
                <w:i/>
                <w:iCs/>
                <w:sz w:val="20"/>
                <w:szCs w:val="20"/>
              </w:rPr>
            </w:pPr>
          </w:p>
        </w:tc>
        <w:tc>
          <w:tcPr>
            <w:tcW w:w="2160" w:type="dxa"/>
            <w:vMerge/>
          </w:tcPr>
          <w:p w14:paraId="42CCDB6E" w14:textId="33195D3B" w:rsidR="009715CA" w:rsidRPr="002156E4" w:rsidRDefault="009715CA" w:rsidP="002156E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i/>
                <w:iCs/>
                <w:sz w:val="20"/>
                <w:szCs w:val="20"/>
              </w:rPr>
            </w:pPr>
          </w:p>
        </w:tc>
        <w:tc>
          <w:tcPr>
            <w:tcW w:w="6475" w:type="dxa"/>
          </w:tcPr>
          <w:p w14:paraId="480AF429" w14:textId="72E6D4EC" w:rsidR="009715CA" w:rsidRPr="002156E4" w:rsidRDefault="009715CA" w:rsidP="002156E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156E4">
              <w:rPr>
                <w:rFonts w:cstheme="minorHAnsi"/>
                <w:sz w:val="20"/>
                <w:szCs w:val="20"/>
              </w:rPr>
              <w:t>Support the domestication of the MRAs into national policies, monitoring and evaluation frameworks</w:t>
            </w:r>
            <w:r>
              <w:rPr>
                <w:rFonts w:cstheme="minorHAnsi"/>
                <w:sz w:val="20"/>
                <w:szCs w:val="20"/>
              </w:rPr>
              <w:t xml:space="preserve">. </w:t>
            </w:r>
            <w:r w:rsidRPr="002156E4">
              <w:rPr>
                <w:rFonts w:cstheme="minorHAnsi"/>
                <w:sz w:val="20"/>
                <w:szCs w:val="20"/>
              </w:rPr>
              <w:t>This will include monitoring the implementation of the MRA at the borders and the use of equipment procured under the project to ensure its effective and appropriate use.</w:t>
            </w:r>
          </w:p>
        </w:tc>
      </w:tr>
      <w:tr w:rsidR="009715CA" w:rsidRPr="002156E4" w14:paraId="20D14E14" w14:textId="77777777" w:rsidTr="001B1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Merge/>
          </w:tcPr>
          <w:p w14:paraId="768D6622" w14:textId="77777777" w:rsidR="009715CA" w:rsidRPr="002156E4" w:rsidRDefault="009715CA" w:rsidP="002156E4">
            <w:pPr>
              <w:spacing w:line="276" w:lineRule="auto"/>
              <w:jc w:val="both"/>
              <w:rPr>
                <w:rFonts w:cstheme="minorHAnsi"/>
                <w:b w:val="0"/>
                <w:bCs w:val="0"/>
                <w:i/>
                <w:iCs/>
                <w:sz w:val="20"/>
                <w:szCs w:val="20"/>
              </w:rPr>
            </w:pPr>
          </w:p>
        </w:tc>
        <w:tc>
          <w:tcPr>
            <w:tcW w:w="2160" w:type="dxa"/>
            <w:vMerge/>
          </w:tcPr>
          <w:p w14:paraId="29941FD0" w14:textId="77777777" w:rsidR="009715CA" w:rsidRPr="002156E4" w:rsidRDefault="009715CA" w:rsidP="002156E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p>
        </w:tc>
        <w:tc>
          <w:tcPr>
            <w:tcW w:w="6475" w:type="dxa"/>
          </w:tcPr>
          <w:p w14:paraId="329532F9" w14:textId="2237E0E6" w:rsidR="009715CA" w:rsidRPr="002156E4" w:rsidRDefault="009715CA" w:rsidP="002156E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56E4">
              <w:rPr>
                <w:rFonts w:cstheme="minorHAnsi"/>
                <w:sz w:val="20"/>
                <w:szCs w:val="20"/>
              </w:rPr>
              <w:t>Facilitate advocacy, awareness creation, information sharing and learning between private and public sector actors across the select</w:t>
            </w:r>
            <w:r>
              <w:rPr>
                <w:rFonts w:cstheme="minorHAnsi"/>
                <w:sz w:val="20"/>
                <w:szCs w:val="20"/>
              </w:rPr>
              <w:t>ed</w:t>
            </w:r>
            <w:r w:rsidRPr="002156E4">
              <w:rPr>
                <w:rFonts w:cstheme="minorHAnsi"/>
                <w:sz w:val="20"/>
                <w:szCs w:val="20"/>
              </w:rPr>
              <w:t xml:space="preserve"> value chains. This will include </w:t>
            </w:r>
            <w:r>
              <w:rPr>
                <w:rFonts w:cstheme="minorHAnsi"/>
                <w:sz w:val="20"/>
                <w:szCs w:val="20"/>
              </w:rPr>
              <w:t>supporting COMESA to</w:t>
            </w:r>
            <w:r w:rsidRPr="002156E4">
              <w:rPr>
                <w:rFonts w:cstheme="minorHAnsi"/>
                <w:sz w:val="20"/>
                <w:szCs w:val="20"/>
              </w:rPr>
              <w:t xml:space="preserve"> develop</w:t>
            </w:r>
            <w:r>
              <w:rPr>
                <w:rFonts w:cstheme="minorHAnsi"/>
                <w:sz w:val="20"/>
                <w:szCs w:val="20"/>
              </w:rPr>
              <w:t xml:space="preserve"> </w:t>
            </w:r>
            <w:r w:rsidRPr="002156E4">
              <w:rPr>
                <w:rFonts w:cstheme="minorHAnsi"/>
                <w:sz w:val="20"/>
                <w:szCs w:val="20"/>
              </w:rPr>
              <w:t>a communication strategy for the MRF/MRA.</w:t>
            </w:r>
          </w:p>
        </w:tc>
      </w:tr>
    </w:tbl>
    <w:p w14:paraId="3C241873" w14:textId="77777777" w:rsidR="00E672B1" w:rsidRDefault="00E672B1" w:rsidP="00351E9D">
      <w:pPr>
        <w:spacing w:line="276" w:lineRule="auto"/>
        <w:jc w:val="both"/>
        <w:rPr>
          <w:rFonts w:cstheme="minorHAnsi"/>
          <w:b/>
          <w:bCs/>
          <w:i/>
          <w:iCs/>
        </w:rPr>
      </w:pPr>
    </w:p>
    <w:p w14:paraId="754EA160" w14:textId="77777777" w:rsidR="001B177B" w:rsidRDefault="001B177B" w:rsidP="00351E9D">
      <w:pPr>
        <w:spacing w:line="276" w:lineRule="auto"/>
        <w:jc w:val="both"/>
        <w:rPr>
          <w:rFonts w:cstheme="minorHAnsi"/>
          <w:b/>
          <w:bCs/>
          <w:i/>
          <w:iCs/>
        </w:rPr>
        <w:sectPr w:rsidR="001B177B" w:rsidSect="001525E4">
          <w:headerReference w:type="default" r:id="rId8"/>
          <w:footerReference w:type="default" r:id="rId9"/>
          <w:pgSz w:w="12240" w:h="15840"/>
          <w:pgMar w:top="1440" w:right="1440" w:bottom="1440" w:left="1440" w:header="720" w:footer="720" w:gutter="0"/>
          <w:cols w:space="720"/>
          <w:docGrid w:linePitch="360"/>
        </w:sectPr>
      </w:pPr>
    </w:p>
    <w:p w14:paraId="1456136F" w14:textId="7F6D8153" w:rsidR="001B177B" w:rsidRDefault="001B177B" w:rsidP="00351E9D">
      <w:pPr>
        <w:spacing w:line="276" w:lineRule="auto"/>
        <w:jc w:val="both"/>
        <w:rPr>
          <w:rFonts w:cstheme="minorHAnsi"/>
          <w:b/>
          <w:bCs/>
          <w:i/>
          <w:iCs/>
        </w:rPr>
      </w:pPr>
      <w:r>
        <w:rPr>
          <w:rFonts w:cstheme="minorHAnsi"/>
          <w:b/>
          <w:bCs/>
          <w:i/>
          <w:iCs/>
        </w:rPr>
        <w:lastRenderedPageBreak/>
        <w:t>Deliverables</w:t>
      </w:r>
    </w:p>
    <w:tbl>
      <w:tblPr>
        <w:tblStyle w:val="GridTable4-Accent6"/>
        <w:tblW w:w="0" w:type="auto"/>
        <w:tblLook w:val="04A0" w:firstRow="1" w:lastRow="0" w:firstColumn="1" w:lastColumn="0" w:noHBand="0" w:noVBand="1"/>
      </w:tblPr>
      <w:tblGrid>
        <w:gridCol w:w="715"/>
        <w:gridCol w:w="2160"/>
        <w:gridCol w:w="6475"/>
      </w:tblGrid>
      <w:tr w:rsidR="001B177B" w:rsidRPr="002156E4" w14:paraId="214C4DEE" w14:textId="77777777" w:rsidTr="00FE7E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013DED46" w14:textId="77777777" w:rsidR="001B177B" w:rsidRPr="002156E4" w:rsidRDefault="001B177B" w:rsidP="00FE7EE3">
            <w:pPr>
              <w:spacing w:line="276" w:lineRule="auto"/>
              <w:jc w:val="both"/>
              <w:rPr>
                <w:rFonts w:cstheme="minorHAnsi"/>
                <w:b w:val="0"/>
                <w:bCs w:val="0"/>
                <w:i/>
                <w:iCs/>
                <w:sz w:val="20"/>
                <w:szCs w:val="20"/>
              </w:rPr>
            </w:pPr>
          </w:p>
        </w:tc>
        <w:tc>
          <w:tcPr>
            <w:tcW w:w="2160" w:type="dxa"/>
          </w:tcPr>
          <w:p w14:paraId="3FC44004" w14:textId="77777777" w:rsidR="001B177B" w:rsidRPr="002156E4" w:rsidRDefault="001B177B" w:rsidP="00FE7EE3">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i/>
                <w:iCs/>
                <w:sz w:val="20"/>
                <w:szCs w:val="20"/>
              </w:rPr>
            </w:pPr>
            <w:r w:rsidRPr="002156E4">
              <w:rPr>
                <w:rFonts w:cstheme="minorHAnsi"/>
                <w:b w:val="0"/>
                <w:bCs w:val="0"/>
                <w:i/>
                <w:iCs/>
                <w:sz w:val="20"/>
                <w:szCs w:val="20"/>
              </w:rPr>
              <w:t>Activity Area</w:t>
            </w:r>
          </w:p>
        </w:tc>
        <w:tc>
          <w:tcPr>
            <w:tcW w:w="6475" w:type="dxa"/>
          </w:tcPr>
          <w:p w14:paraId="66D8AC06" w14:textId="69C194FE" w:rsidR="001B177B" w:rsidRPr="002156E4" w:rsidRDefault="001B177B" w:rsidP="00FE7EE3">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i/>
                <w:iCs/>
                <w:sz w:val="20"/>
                <w:szCs w:val="20"/>
              </w:rPr>
            </w:pPr>
            <w:r>
              <w:rPr>
                <w:rFonts w:cstheme="minorHAnsi"/>
                <w:b w:val="0"/>
                <w:bCs w:val="0"/>
                <w:i/>
                <w:iCs/>
                <w:sz w:val="20"/>
                <w:szCs w:val="20"/>
              </w:rPr>
              <w:t>Output</w:t>
            </w:r>
          </w:p>
        </w:tc>
      </w:tr>
      <w:tr w:rsidR="001B177B" w:rsidRPr="002156E4" w14:paraId="270062F9" w14:textId="77777777" w:rsidTr="00FE7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07565E95" w14:textId="77777777" w:rsidR="001B177B" w:rsidRPr="002156E4" w:rsidRDefault="001B177B" w:rsidP="00FE7EE3">
            <w:pPr>
              <w:spacing w:line="276" w:lineRule="auto"/>
              <w:jc w:val="both"/>
              <w:rPr>
                <w:rFonts w:cstheme="minorHAnsi"/>
                <w:b w:val="0"/>
                <w:bCs w:val="0"/>
                <w:i/>
                <w:iCs/>
                <w:sz w:val="20"/>
                <w:szCs w:val="20"/>
              </w:rPr>
            </w:pPr>
            <w:r w:rsidRPr="002156E4">
              <w:rPr>
                <w:rFonts w:cstheme="minorHAnsi"/>
                <w:b w:val="0"/>
                <w:bCs w:val="0"/>
                <w:i/>
                <w:iCs/>
                <w:sz w:val="20"/>
                <w:szCs w:val="20"/>
              </w:rPr>
              <w:t>1</w:t>
            </w:r>
          </w:p>
        </w:tc>
        <w:tc>
          <w:tcPr>
            <w:tcW w:w="2160" w:type="dxa"/>
          </w:tcPr>
          <w:p w14:paraId="177739AC" w14:textId="77777777" w:rsidR="001B177B" w:rsidRPr="002156E4" w:rsidRDefault="001B177B" w:rsidP="00FE7EE3">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
                <w:bCs/>
                <w:i/>
                <w:iCs/>
                <w:sz w:val="20"/>
                <w:szCs w:val="20"/>
              </w:rPr>
            </w:pPr>
            <w:r w:rsidRPr="002156E4">
              <w:rPr>
                <w:rFonts w:cstheme="minorHAnsi"/>
                <w:b/>
                <w:bCs/>
                <w:i/>
                <w:iCs/>
                <w:sz w:val="20"/>
                <w:szCs w:val="20"/>
              </w:rPr>
              <w:t>MRA Negotiations &amp; Signing</w:t>
            </w:r>
          </w:p>
        </w:tc>
        <w:tc>
          <w:tcPr>
            <w:tcW w:w="6475" w:type="dxa"/>
          </w:tcPr>
          <w:p w14:paraId="53EC3028" w14:textId="332CCF4F" w:rsidR="001B177B" w:rsidRPr="002156E4" w:rsidRDefault="001B177B" w:rsidP="00FE7EE3">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Monthly reports highlighting engagements (including names of institutions and persons) undertaken in the month. This should include minutes of meetings facilitated.</w:t>
            </w:r>
          </w:p>
        </w:tc>
      </w:tr>
      <w:tr w:rsidR="001B177B" w:rsidRPr="002156E4" w14:paraId="68909E0F" w14:textId="77777777" w:rsidTr="00FE7EE3">
        <w:tc>
          <w:tcPr>
            <w:cnfStyle w:val="001000000000" w:firstRow="0" w:lastRow="0" w:firstColumn="1" w:lastColumn="0" w:oddVBand="0" w:evenVBand="0" w:oddHBand="0" w:evenHBand="0" w:firstRowFirstColumn="0" w:firstRowLastColumn="0" w:lastRowFirstColumn="0" w:lastRowLastColumn="0"/>
            <w:tcW w:w="715" w:type="dxa"/>
          </w:tcPr>
          <w:p w14:paraId="53A15A95" w14:textId="77777777" w:rsidR="001B177B" w:rsidRPr="002156E4" w:rsidRDefault="001B177B" w:rsidP="00FE7EE3">
            <w:pPr>
              <w:spacing w:line="276" w:lineRule="auto"/>
              <w:jc w:val="both"/>
              <w:rPr>
                <w:rFonts w:cstheme="minorHAnsi"/>
                <w:b w:val="0"/>
                <w:bCs w:val="0"/>
                <w:i/>
                <w:iCs/>
                <w:sz w:val="20"/>
                <w:szCs w:val="20"/>
              </w:rPr>
            </w:pPr>
            <w:r>
              <w:rPr>
                <w:rFonts w:cstheme="minorHAnsi"/>
                <w:b w:val="0"/>
                <w:bCs w:val="0"/>
                <w:i/>
                <w:iCs/>
                <w:sz w:val="20"/>
                <w:szCs w:val="20"/>
              </w:rPr>
              <w:t>2</w:t>
            </w:r>
          </w:p>
        </w:tc>
        <w:tc>
          <w:tcPr>
            <w:tcW w:w="2160" w:type="dxa"/>
          </w:tcPr>
          <w:p w14:paraId="701CE73C" w14:textId="77777777" w:rsidR="001B177B" w:rsidRPr="002156E4" w:rsidRDefault="001B177B" w:rsidP="00FE7EE3">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i/>
                <w:iCs/>
                <w:sz w:val="20"/>
                <w:szCs w:val="20"/>
              </w:rPr>
            </w:pPr>
            <w:r w:rsidRPr="002156E4">
              <w:rPr>
                <w:rFonts w:cstheme="minorHAnsi"/>
                <w:b/>
                <w:bCs/>
                <w:i/>
                <w:iCs/>
                <w:sz w:val="20"/>
                <w:szCs w:val="20"/>
              </w:rPr>
              <w:t>MRA Implementation</w:t>
            </w:r>
          </w:p>
        </w:tc>
        <w:tc>
          <w:tcPr>
            <w:tcW w:w="6475" w:type="dxa"/>
          </w:tcPr>
          <w:p w14:paraId="3D89829C" w14:textId="77777777" w:rsidR="001B177B" w:rsidRDefault="00915B2C" w:rsidP="00112BE1">
            <w:pPr>
              <w:pStyle w:val="ListParagraph"/>
              <w:numPr>
                <w:ilvl w:val="0"/>
                <w:numId w:val="22"/>
              </w:numPr>
              <w:spacing w:line="276" w:lineRule="auto"/>
              <w:ind w:left="554"/>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5B2C">
              <w:rPr>
                <w:rFonts w:cstheme="minorHAnsi"/>
                <w:sz w:val="20"/>
                <w:szCs w:val="20"/>
              </w:rPr>
              <w:t>R</w:t>
            </w:r>
            <w:r w:rsidR="001B177B" w:rsidRPr="00915B2C">
              <w:rPr>
                <w:rFonts w:cstheme="minorHAnsi"/>
                <w:sz w:val="20"/>
                <w:szCs w:val="20"/>
              </w:rPr>
              <w:t>oadmap for the sustainability of the MRF and MRA implementation after signing.</w:t>
            </w:r>
          </w:p>
          <w:p w14:paraId="659F1569" w14:textId="27B3A0E0" w:rsidR="00677C6B" w:rsidRPr="00915B2C" w:rsidRDefault="00677C6B" w:rsidP="00112BE1">
            <w:pPr>
              <w:pStyle w:val="ListParagraph"/>
              <w:numPr>
                <w:ilvl w:val="0"/>
                <w:numId w:val="22"/>
              </w:numPr>
              <w:spacing w:line="276" w:lineRule="auto"/>
              <w:ind w:left="554"/>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Support arbitration processes</w:t>
            </w:r>
            <w:r w:rsidR="00CD022F">
              <w:rPr>
                <w:rFonts w:cstheme="minorHAnsi"/>
                <w:sz w:val="20"/>
                <w:szCs w:val="20"/>
              </w:rPr>
              <w:t xml:space="preserve"> amongst/between </w:t>
            </w:r>
            <w:r w:rsidR="004F7865">
              <w:rPr>
                <w:rFonts w:cstheme="minorHAnsi"/>
                <w:sz w:val="20"/>
                <w:szCs w:val="20"/>
              </w:rPr>
              <w:t>Member States</w:t>
            </w:r>
          </w:p>
          <w:p w14:paraId="1FDFD239" w14:textId="41060210" w:rsidR="00915B2C" w:rsidRPr="00915B2C" w:rsidRDefault="00915B2C" w:rsidP="00112BE1">
            <w:pPr>
              <w:pStyle w:val="ListParagraph"/>
              <w:numPr>
                <w:ilvl w:val="0"/>
                <w:numId w:val="22"/>
              </w:numPr>
              <w:spacing w:line="276" w:lineRule="auto"/>
              <w:ind w:left="554"/>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5B2C">
              <w:rPr>
                <w:rFonts w:cstheme="minorHAnsi"/>
                <w:sz w:val="20"/>
                <w:szCs w:val="20"/>
              </w:rPr>
              <w:t>Monthly report highlighting monitoring undertaken, progress towards the communication strategy, and advocacy and awareness activities carried out.</w:t>
            </w:r>
          </w:p>
        </w:tc>
      </w:tr>
    </w:tbl>
    <w:p w14:paraId="23BBFBF5" w14:textId="77777777" w:rsidR="001B177B" w:rsidRPr="00B0462B" w:rsidRDefault="001B177B" w:rsidP="00351E9D">
      <w:pPr>
        <w:spacing w:line="276" w:lineRule="auto"/>
        <w:jc w:val="both"/>
        <w:rPr>
          <w:rFonts w:cstheme="minorHAnsi"/>
          <w:b/>
          <w:bCs/>
          <w:i/>
          <w:iCs/>
        </w:rPr>
      </w:pPr>
    </w:p>
    <w:p w14:paraId="1090515E" w14:textId="5AF0C58D" w:rsidR="006B0AE9" w:rsidRPr="006B0AE9" w:rsidRDefault="006B0AE9" w:rsidP="006B0AE9">
      <w:pPr>
        <w:spacing w:line="276" w:lineRule="auto"/>
        <w:jc w:val="both"/>
        <w:rPr>
          <w:rFonts w:cstheme="minorHAnsi"/>
          <w:b/>
          <w:bCs/>
          <w:i/>
          <w:iCs/>
        </w:rPr>
      </w:pPr>
      <w:r w:rsidRPr="006B0AE9">
        <w:rPr>
          <w:rFonts w:cstheme="minorHAnsi"/>
          <w:b/>
          <w:bCs/>
          <w:i/>
          <w:iCs/>
        </w:rPr>
        <w:t>Qualification of the consultants</w:t>
      </w:r>
    </w:p>
    <w:p w14:paraId="0312FF06" w14:textId="10490407" w:rsidR="006B0AE9" w:rsidRPr="006B0AE9" w:rsidRDefault="006B0AE9" w:rsidP="006B0AE9">
      <w:pPr>
        <w:jc w:val="both"/>
        <w:rPr>
          <w:rFonts w:eastAsia="Times New Roman"/>
        </w:rPr>
      </w:pPr>
      <w:r w:rsidRPr="006B0AE9">
        <w:rPr>
          <w:rFonts w:eastAsia="Times New Roman"/>
        </w:rPr>
        <w:t>We seek to engage a</w:t>
      </w:r>
      <w:r w:rsidR="00B820E1">
        <w:rPr>
          <w:rFonts w:eastAsia="Times New Roman"/>
        </w:rPr>
        <w:t>n</w:t>
      </w:r>
      <w:r w:rsidRPr="006B0AE9">
        <w:rPr>
          <w:rFonts w:eastAsia="Times New Roman"/>
        </w:rPr>
        <w:t xml:space="preserve"> </w:t>
      </w:r>
      <w:r w:rsidR="00B820E1" w:rsidRPr="00B820E1">
        <w:rPr>
          <w:rFonts w:eastAsia="Times New Roman"/>
        </w:rPr>
        <w:t xml:space="preserve">experienced and </w:t>
      </w:r>
      <w:r w:rsidR="00B820E1" w:rsidRPr="00112BE1">
        <w:rPr>
          <w:rFonts w:eastAsia="Times New Roman"/>
        </w:rPr>
        <w:t>well-</w:t>
      </w:r>
      <w:r w:rsidR="00335A91" w:rsidRPr="00112BE1">
        <w:rPr>
          <w:rFonts w:eastAsia="Times New Roman"/>
        </w:rPr>
        <w:t>networked</w:t>
      </w:r>
      <w:r w:rsidR="00B820E1" w:rsidRPr="00B820E1">
        <w:rPr>
          <w:rFonts w:eastAsia="Times New Roman"/>
        </w:rPr>
        <w:t xml:space="preserve"> individual </w:t>
      </w:r>
      <w:r w:rsidR="002152DA">
        <w:rPr>
          <w:rFonts w:eastAsia="Times New Roman"/>
        </w:rPr>
        <w:t xml:space="preserve">who understands government business and </w:t>
      </w:r>
      <w:r w:rsidR="00DF0CB2">
        <w:rPr>
          <w:rFonts w:eastAsia="Times New Roman"/>
        </w:rPr>
        <w:t xml:space="preserve">regional integration </w:t>
      </w:r>
      <w:r w:rsidR="00B820E1" w:rsidRPr="00B820E1">
        <w:rPr>
          <w:rFonts w:eastAsia="Times New Roman"/>
        </w:rPr>
        <w:t>to facilitate country level engagements to ensure successful signing of the MRAs and sustainable post-development implementation of the agreement.</w:t>
      </w:r>
      <w:r w:rsidRPr="006B0AE9">
        <w:rPr>
          <w:rFonts w:eastAsia="Times New Roman"/>
        </w:rPr>
        <w:t xml:space="preserve"> The </w:t>
      </w:r>
      <w:r w:rsidR="00B820E1">
        <w:rPr>
          <w:rFonts w:eastAsia="Times New Roman"/>
        </w:rPr>
        <w:t>individual</w:t>
      </w:r>
      <w:r w:rsidRPr="006B0AE9">
        <w:rPr>
          <w:rFonts w:eastAsia="Times New Roman"/>
        </w:rPr>
        <w:t xml:space="preserve"> should possess the following qualifications and experience:</w:t>
      </w:r>
    </w:p>
    <w:p w14:paraId="5BA94370" w14:textId="4548290F" w:rsidR="00520EE7" w:rsidRDefault="00BF47D5" w:rsidP="006B0AE9">
      <w:pPr>
        <w:pStyle w:val="ListParagraph"/>
        <w:numPr>
          <w:ilvl w:val="0"/>
          <w:numId w:val="18"/>
        </w:numPr>
        <w:jc w:val="both"/>
        <w:rPr>
          <w:rFonts w:eastAsia="Times New Roman"/>
          <w:sz w:val="22"/>
          <w:szCs w:val="22"/>
        </w:rPr>
      </w:pPr>
      <w:r>
        <w:rPr>
          <w:rFonts w:eastAsia="Times New Roman"/>
          <w:sz w:val="22"/>
          <w:szCs w:val="22"/>
        </w:rPr>
        <w:t>A</w:t>
      </w:r>
      <w:r w:rsidR="00520EE7">
        <w:rPr>
          <w:rFonts w:eastAsia="Times New Roman"/>
          <w:sz w:val="22"/>
          <w:szCs w:val="22"/>
        </w:rPr>
        <w:t xml:space="preserve">t least a </w:t>
      </w:r>
      <w:proofErr w:type="spellStart"/>
      <w:r w:rsidR="00520EE7">
        <w:rPr>
          <w:rFonts w:eastAsia="Times New Roman"/>
          <w:sz w:val="22"/>
          <w:szCs w:val="22"/>
        </w:rPr>
        <w:t>Masters</w:t>
      </w:r>
      <w:proofErr w:type="spellEnd"/>
      <w:r w:rsidR="00520EE7">
        <w:rPr>
          <w:rFonts w:eastAsia="Times New Roman"/>
          <w:sz w:val="22"/>
          <w:szCs w:val="22"/>
        </w:rPr>
        <w:t xml:space="preserve"> </w:t>
      </w:r>
      <w:r>
        <w:rPr>
          <w:rFonts w:eastAsia="Times New Roman"/>
          <w:sz w:val="22"/>
          <w:szCs w:val="22"/>
        </w:rPr>
        <w:t xml:space="preserve">degree </w:t>
      </w:r>
      <w:r w:rsidR="00FC507C">
        <w:rPr>
          <w:rFonts w:eastAsia="Times New Roman"/>
          <w:sz w:val="22"/>
          <w:szCs w:val="22"/>
        </w:rPr>
        <w:t xml:space="preserve">in </w:t>
      </w:r>
      <w:r w:rsidR="00520EE7">
        <w:rPr>
          <w:rFonts w:eastAsia="Times New Roman"/>
          <w:sz w:val="22"/>
          <w:szCs w:val="22"/>
        </w:rPr>
        <w:t>the following disciplines: Agribusiness/</w:t>
      </w:r>
      <w:r w:rsidR="00A94EA7">
        <w:rPr>
          <w:rFonts w:eastAsia="Times New Roman"/>
          <w:sz w:val="22"/>
          <w:szCs w:val="22"/>
        </w:rPr>
        <w:t>Economics; Agricultural</w:t>
      </w:r>
      <w:r w:rsidR="00520EE7">
        <w:rPr>
          <w:rFonts w:eastAsia="Times New Roman"/>
          <w:sz w:val="22"/>
          <w:szCs w:val="22"/>
        </w:rPr>
        <w:t xml:space="preserve"> Sciences; Food Science/Technology; and  Sciences </w:t>
      </w:r>
    </w:p>
    <w:p w14:paraId="07FDF62D" w14:textId="4523B965" w:rsidR="00FC507C" w:rsidRDefault="00520EE7" w:rsidP="006B0AE9">
      <w:pPr>
        <w:pStyle w:val="ListParagraph"/>
        <w:numPr>
          <w:ilvl w:val="0"/>
          <w:numId w:val="18"/>
        </w:numPr>
        <w:jc w:val="both"/>
        <w:rPr>
          <w:rFonts w:eastAsia="Times New Roman"/>
          <w:sz w:val="22"/>
          <w:szCs w:val="22"/>
        </w:rPr>
      </w:pPr>
      <w:r>
        <w:rPr>
          <w:rFonts w:eastAsia="Times New Roman"/>
          <w:sz w:val="22"/>
          <w:szCs w:val="22"/>
        </w:rPr>
        <w:t xml:space="preserve">Minimum of </w:t>
      </w:r>
      <w:r w:rsidR="00FC507C">
        <w:rPr>
          <w:rFonts w:eastAsia="Times New Roman"/>
          <w:sz w:val="22"/>
          <w:szCs w:val="22"/>
        </w:rPr>
        <w:t xml:space="preserve">20 years </w:t>
      </w:r>
      <w:r>
        <w:rPr>
          <w:rFonts w:eastAsia="Times New Roman"/>
          <w:sz w:val="22"/>
          <w:szCs w:val="22"/>
        </w:rPr>
        <w:t xml:space="preserve">of relevant </w:t>
      </w:r>
      <w:r w:rsidR="00FC507C">
        <w:rPr>
          <w:rFonts w:eastAsia="Times New Roman"/>
          <w:sz w:val="22"/>
          <w:szCs w:val="22"/>
        </w:rPr>
        <w:t>work experience.</w:t>
      </w:r>
    </w:p>
    <w:p w14:paraId="15469277" w14:textId="0DFB1BE4" w:rsidR="00797C90" w:rsidRDefault="00E00F65" w:rsidP="006B0AE9">
      <w:pPr>
        <w:pStyle w:val="ListParagraph"/>
        <w:numPr>
          <w:ilvl w:val="0"/>
          <w:numId w:val="18"/>
        </w:numPr>
        <w:jc w:val="both"/>
        <w:rPr>
          <w:rFonts w:eastAsia="Times New Roman"/>
          <w:sz w:val="22"/>
          <w:szCs w:val="22"/>
        </w:rPr>
      </w:pPr>
      <w:r>
        <w:rPr>
          <w:rFonts w:eastAsia="Times New Roman"/>
          <w:sz w:val="22"/>
          <w:szCs w:val="22"/>
        </w:rPr>
        <w:t>Broad e</w:t>
      </w:r>
      <w:r w:rsidR="006B0AE9" w:rsidRPr="006B0AE9">
        <w:rPr>
          <w:rFonts w:eastAsia="Times New Roman"/>
          <w:sz w:val="22"/>
          <w:szCs w:val="22"/>
        </w:rPr>
        <w:t xml:space="preserve">xperience working in </w:t>
      </w:r>
      <w:r w:rsidR="00DF0CB2">
        <w:rPr>
          <w:rFonts w:eastAsia="Times New Roman"/>
          <w:sz w:val="22"/>
          <w:szCs w:val="22"/>
        </w:rPr>
        <w:t xml:space="preserve">government </w:t>
      </w:r>
      <w:r w:rsidR="00530CB5">
        <w:rPr>
          <w:rFonts w:eastAsia="Times New Roman"/>
          <w:sz w:val="22"/>
          <w:szCs w:val="22"/>
        </w:rPr>
        <w:t xml:space="preserve">or regional </w:t>
      </w:r>
      <w:r w:rsidR="006B0AE9" w:rsidRPr="006B0AE9">
        <w:rPr>
          <w:rFonts w:eastAsia="Times New Roman"/>
          <w:sz w:val="22"/>
          <w:szCs w:val="22"/>
        </w:rPr>
        <w:t xml:space="preserve">economic </w:t>
      </w:r>
      <w:r w:rsidR="00530CB5">
        <w:rPr>
          <w:rFonts w:eastAsia="Times New Roman"/>
          <w:sz w:val="22"/>
          <w:szCs w:val="22"/>
        </w:rPr>
        <w:t xml:space="preserve">community or </w:t>
      </w:r>
      <w:r w:rsidR="002B78EE">
        <w:rPr>
          <w:rFonts w:eastAsia="Times New Roman"/>
          <w:sz w:val="22"/>
          <w:szCs w:val="22"/>
        </w:rPr>
        <w:t xml:space="preserve">private industry associations that have had </w:t>
      </w:r>
      <w:r w:rsidR="00797C90">
        <w:rPr>
          <w:rFonts w:eastAsia="Times New Roman"/>
          <w:sz w:val="22"/>
          <w:szCs w:val="22"/>
        </w:rPr>
        <w:t>great collaboration with governments in policy formulation and reforms</w:t>
      </w:r>
      <w:r w:rsidR="002E2EEE">
        <w:rPr>
          <w:rFonts w:eastAsia="Times New Roman"/>
          <w:sz w:val="22"/>
          <w:szCs w:val="22"/>
        </w:rPr>
        <w:t xml:space="preserve">. </w:t>
      </w:r>
    </w:p>
    <w:p w14:paraId="3FC5EAD1" w14:textId="342ECB3F" w:rsidR="006B0AE9" w:rsidRPr="006B0AE9" w:rsidRDefault="00071193" w:rsidP="006B0AE9">
      <w:pPr>
        <w:pStyle w:val="ListParagraph"/>
        <w:numPr>
          <w:ilvl w:val="0"/>
          <w:numId w:val="18"/>
        </w:numPr>
        <w:jc w:val="both"/>
        <w:rPr>
          <w:rFonts w:eastAsia="Times New Roman"/>
          <w:sz w:val="22"/>
          <w:szCs w:val="22"/>
        </w:rPr>
      </w:pPr>
      <w:r>
        <w:rPr>
          <w:rFonts w:eastAsia="Times New Roman"/>
          <w:sz w:val="22"/>
          <w:szCs w:val="22"/>
        </w:rPr>
        <w:t>Must have</w:t>
      </w:r>
      <w:r w:rsidR="006B0AE9" w:rsidRPr="006B0AE9">
        <w:rPr>
          <w:rFonts w:eastAsia="Times New Roman"/>
          <w:sz w:val="22"/>
          <w:szCs w:val="22"/>
        </w:rPr>
        <w:t xml:space="preserve"> a strong understanding of regional integration agenda in the continent</w:t>
      </w:r>
      <w:r>
        <w:rPr>
          <w:rFonts w:eastAsia="Times New Roman"/>
          <w:sz w:val="22"/>
          <w:szCs w:val="22"/>
        </w:rPr>
        <w:t xml:space="preserve"> and preferably </w:t>
      </w:r>
      <w:r w:rsidR="005109F3" w:rsidRPr="00FE216C">
        <w:rPr>
          <w:rFonts w:cstheme="minorHAnsi"/>
          <w:sz w:val="22"/>
          <w:szCs w:val="22"/>
        </w:rPr>
        <w:t xml:space="preserve">harmonization of </w:t>
      </w:r>
      <w:r w:rsidR="000D0621">
        <w:rPr>
          <w:rFonts w:cstheme="minorHAnsi"/>
          <w:sz w:val="22"/>
          <w:szCs w:val="22"/>
        </w:rPr>
        <w:t>regulatory</w:t>
      </w:r>
      <w:r w:rsidR="000D0621" w:rsidRPr="00FE216C">
        <w:rPr>
          <w:rFonts w:cstheme="minorHAnsi"/>
          <w:sz w:val="22"/>
          <w:szCs w:val="22"/>
        </w:rPr>
        <w:t xml:space="preserve"> </w:t>
      </w:r>
      <w:r w:rsidR="005109F3" w:rsidRPr="00FE216C">
        <w:rPr>
          <w:rFonts w:cstheme="minorHAnsi"/>
          <w:sz w:val="22"/>
          <w:szCs w:val="22"/>
        </w:rPr>
        <w:t>polic</w:t>
      </w:r>
      <w:r w:rsidR="005109F3">
        <w:rPr>
          <w:rFonts w:cstheme="minorHAnsi"/>
          <w:sz w:val="22"/>
          <w:szCs w:val="22"/>
        </w:rPr>
        <w:t>ies</w:t>
      </w:r>
      <w:r w:rsidR="00741A28">
        <w:rPr>
          <w:rFonts w:cstheme="minorHAnsi"/>
          <w:sz w:val="22"/>
          <w:szCs w:val="22"/>
        </w:rPr>
        <w:t>, including mutual recognition agreements</w:t>
      </w:r>
      <w:r w:rsidR="005109F3" w:rsidRPr="00FE216C">
        <w:rPr>
          <w:rFonts w:cstheme="minorHAnsi"/>
          <w:sz w:val="22"/>
          <w:szCs w:val="22"/>
        </w:rPr>
        <w:t xml:space="preserve"> across the region to promote intra-regional trade</w:t>
      </w:r>
      <w:r w:rsidR="00992FBC">
        <w:rPr>
          <w:rFonts w:eastAsia="Times New Roman"/>
          <w:sz w:val="22"/>
          <w:szCs w:val="22"/>
        </w:rPr>
        <w:t>.</w:t>
      </w:r>
    </w:p>
    <w:p w14:paraId="51744FFF" w14:textId="5246A937" w:rsidR="00CD022F" w:rsidRDefault="006B0AE9" w:rsidP="006B0AE9">
      <w:pPr>
        <w:pStyle w:val="ListParagraph"/>
        <w:numPr>
          <w:ilvl w:val="0"/>
          <w:numId w:val="18"/>
        </w:numPr>
        <w:jc w:val="both"/>
        <w:rPr>
          <w:rFonts w:eastAsia="Times New Roman"/>
          <w:sz w:val="22"/>
          <w:szCs w:val="22"/>
        </w:rPr>
      </w:pPr>
      <w:r w:rsidRPr="006B0AE9">
        <w:rPr>
          <w:rFonts w:eastAsia="Times New Roman"/>
          <w:sz w:val="22"/>
          <w:szCs w:val="22"/>
        </w:rPr>
        <w:t xml:space="preserve">Demonstrate </w:t>
      </w:r>
      <w:r w:rsidR="00DA72F1">
        <w:rPr>
          <w:rFonts w:eastAsia="Times New Roman"/>
          <w:sz w:val="22"/>
          <w:szCs w:val="22"/>
        </w:rPr>
        <w:t xml:space="preserve">high </w:t>
      </w:r>
      <w:r w:rsidRPr="006B0AE9">
        <w:rPr>
          <w:rFonts w:eastAsia="Times New Roman"/>
          <w:sz w:val="22"/>
          <w:szCs w:val="22"/>
        </w:rPr>
        <w:t xml:space="preserve">in-depth </w:t>
      </w:r>
      <w:r w:rsidR="00DA72F1">
        <w:rPr>
          <w:rFonts w:eastAsia="Times New Roman"/>
          <w:sz w:val="22"/>
          <w:szCs w:val="22"/>
        </w:rPr>
        <w:t xml:space="preserve">experience of </w:t>
      </w:r>
      <w:r w:rsidR="00677C6B">
        <w:rPr>
          <w:rFonts w:eastAsia="Times New Roman"/>
          <w:sz w:val="22"/>
          <w:szCs w:val="22"/>
        </w:rPr>
        <w:t>negotiations at bilateral</w:t>
      </w:r>
      <w:r w:rsidR="00CD022F">
        <w:rPr>
          <w:rFonts w:eastAsia="Times New Roman"/>
          <w:sz w:val="22"/>
          <w:szCs w:val="22"/>
        </w:rPr>
        <w:t>/plu</w:t>
      </w:r>
      <w:r w:rsidR="00A94EA7">
        <w:rPr>
          <w:rFonts w:eastAsia="Times New Roman"/>
          <w:sz w:val="22"/>
          <w:szCs w:val="22"/>
        </w:rPr>
        <w:t>rilate</w:t>
      </w:r>
      <w:r w:rsidR="00CD022F">
        <w:rPr>
          <w:rFonts w:eastAsia="Times New Roman"/>
          <w:sz w:val="22"/>
          <w:szCs w:val="22"/>
        </w:rPr>
        <w:t>ral/multi-lateral levels</w:t>
      </w:r>
      <w:r w:rsidR="00677C6B">
        <w:rPr>
          <w:rFonts w:eastAsia="Times New Roman"/>
          <w:sz w:val="22"/>
          <w:szCs w:val="22"/>
        </w:rPr>
        <w:t xml:space="preserve">, </w:t>
      </w:r>
    </w:p>
    <w:p w14:paraId="1360BA08" w14:textId="1C0B809D" w:rsidR="00CD022F" w:rsidRDefault="00CD022F" w:rsidP="006B0AE9">
      <w:pPr>
        <w:pStyle w:val="ListParagraph"/>
        <w:numPr>
          <w:ilvl w:val="0"/>
          <w:numId w:val="18"/>
        </w:numPr>
        <w:jc w:val="both"/>
        <w:rPr>
          <w:rFonts w:eastAsia="Times New Roman"/>
          <w:sz w:val="22"/>
          <w:szCs w:val="22"/>
        </w:rPr>
      </w:pPr>
      <w:r>
        <w:rPr>
          <w:rFonts w:eastAsia="Times New Roman"/>
          <w:sz w:val="22"/>
          <w:szCs w:val="22"/>
        </w:rPr>
        <w:t xml:space="preserve">Wide </w:t>
      </w:r>
      <w:r w:rsidR="00A94EA7">
        <w:rPr>
          <w:rFonts w:eastAsia="Times New Roman"/>
          <w:sz w:val="22"/>
          <w:szCs w:val="22"/>
        </w:rPr>
        <w:t>experience in</w:t>
      </w:r>
      <w:r w:rsidR="00D15884">
        <w:rPr>
          <w:rFonts w:eastAsia="Times New Roman"/>
          <w:sz w:val="22"/>
          <w:szCs w:val="22"/>
        </w:rPr>
        <w:t xml:space="preserve"> </w:t>
      </w:r>
      <w:r>
        <w:rPr>
          <w:rFonts w:eastAsia="Times New Roman"/>
          <w:sz w:val="22"/>
          <w:szCs w:val="22"/>
        </w:rPr>
        <w:t xml:space="preserve">trade </w:t>
      </w:r>
      <w:r w:rsidR="00D15884">
        <w:rPr>
          <w:rFonts w:eastAsia="Times New Roman"/>
          <w:sz w:val="22"/>
          <w:szCs w:val="22"/>
        </w:rPr>
        <w:t>facilitati</w:t>
      </w:r>
      <w:r>
        <w:rPr>
          <w:rFonts w:eastAsia="Times New Roman"/>
          <w:sz w:val="22"/>
          <w:szCs w:val="22"/>
        </w:rPr>
        <w:t>on tools/mechanisms and trade dispute resolution mechanisms at regional level</w:t>
      </w:r>
    </w:p>
    <w:p w14:paraId="5C79BC3F" w14:textId="1B572306" w:rsidR="00BF47D5" w:rsidRDefault="00CD022F" w:rsidP="006B0AE9">
      <w:pPr>
        <w:pStyle w:val="ListParagraph"/>
        <w:numPr>
          <w:ilvl w:val="0"/>
          <w:numId w:val="18"/>
        </w:numPr>
        <w:jc w:val="both"/>
        <w:rPr>
          <w:rFonts w:eastAsia="Times New Roman"/>
          <w:sz w:val="22"/>
          <w:szCs w:val="22"/>
        </w:rPr>
      </w:pPr>
      <w:r>
        <w:rPr>
          <w:rFonts w:eastAsia="Times New Roman"/>
          <w:sz w:val="22"/>
          <w:szCs w:val="22"/>
        </w:rPr>
        <w:t xml:space="preserve">Demonstrable Technical understanding of the Mutual Recognition Pillars and Standard Operating Procedures of the Mutual Recognition Framework  </w:t>
      </w:r>
    </w:p>
    <w:p w14:paraId="0E6F651F" w14:textId="1507C007" w:rsidR="00F07F40" w:rsidRPr="00254899" w:rsidRDefault="008B6914" w:rsidP="00F07F40">
      <w:pPr>
        <w:spacing w:line="276" w:lineRule="auto"/>
        <w:jc w:val="both"/>
        <w:rPr>
          <w:rFonts w:cstheme="minorHAnsi"/>
          <w:b/>
          <w:bCs/>
          <w:i/>
          <w:iCs/>
        </w:rPr>
      </w:pPr>
      <w:r>
        <w:rPr>
          <w:rFonts w:cstheme="minorHAnsi"/>
          <w:b/>
          <w:bCs/>
          <w:i/>
          <w:iCs/>
        </w:rPr>
        <w:t>T</w:t>
      </w:r>
      <w:r w:rsidR="00F07F40" w:rsidRPr="00254899">
        <w:rPr>
          <w:rFonts w:cstheme="minorHAnsi"/>
          <w:b/>
          <w:bCs/>
          <w:i/>
          <w:iCs/>
        </w:rPr>
        <w:t>imeframe</w:t>
      </w:r>
    </w:p>
    <w:p w14:paraId="047D64CD" w14:textId="37982816" w:rsidR="006B0AE9" w:rsidRPr="008B6914" w:rsidRDefault="00F07F40" w:rsidP="008B6914">
      <w:pPr>
        <w:jc w:val="both"/>
        <w:rPr>
          <w:rFonts w:eastAsia="Times New Roman"/>
        </w:rPr>
      </w:pPr>
      <w:r w:rsidRPr="008B6914">
        <w:rPr>
          <w:rFonts w:cstheme="minorHAnsi"/>
        </w:rPr>
        <w:t>Th</w:t>
      </w:r>
      <w:r w:rsidR="008B6914">
        <w:rPr>
          <w:rFonts w:cstheme="minorHAnsi"/>
        </w:rPr>
        <w:t>is</w:t>
      </w:r>
      <w:r w:rsidRPr="008B6914">
        <w:rPr>
          <w:rFonts w:cstheme="minorHAnsi"/>
        </w:rPr>
        <w:t xml:space="preserve"> assignment is </w:t>
      </w:r>
      <w:r w:rsidR="008B6914" w:rsidRPr="008B6914">
        <w:rPr>
          <w:rFonts w:cstheme="minorHAnsi"/>
        </w:rPr>
        <w:t xml:space="preserve">expected to </w:t>
      </w:r>
      <w:r w:rsidR="0070643C">
        <w:rPr>
          <w:rFonts w:cstheme="minorHAnsi"/>
        </w:rPr>
        <w:t xml:space="preserve">be carried out using 10 man-days in a month </w:t>
      </w:r>
      <w:r w:rsidR="008B6914" w:rsidRPr="008B6914">
        <w:rPr>
          <w:rFonts w:cstheme="minorHAnsi"/>
        </w:rPr>
        <w:t>spread over twelve (12) months with possibility of extension depending on availability of funding</w:t>
      </w:r>
      <w:r w:rsidR="006B0AE9" w:rsidRPr="008B6914">
        <w:rPr>
          <w:rFonts w:eastAsia="Times New Roman"/>
        </w:rPr>
        <w:t>.</w:t>
      </w:r>
    </w:p>
    <w:p w14:paraId="1F3E248A" w14:textId="77777777" w:rsidR="00B038CF" w:rsidRPr="00D77282" w:rsidRDefault="00FD0B04" w:rsidP="00F07F40">
      <w:pPr>
        <w:spacing w:line="276" w:lineRule="auto"/>
        <w:jc w:val="both"/>
        <w:rPr>
          <w:rFonts w:cstheme="minorHAnsi"/>
          <w:i/>
          <w:iCs/>
        </w:rPr>
      </w:pPr>
      <w:r w:rsidRPr="00D77282">
        <w:rPr>
          <w:rFonts w:cstheme="minorHAnsi"/>
          <w:i/>
          <w:iCs/>
        </w:rPr>
        <w:t>Reporting</w:t>
      </w:r>
      <w:r w:rsidR="00B038CF" w:rsidRPr="00D77282">
        <w:rPr>
          <w:rFonts w:cstheme="minorHAnsi"/>
          <w:i/>
          <w:iCs/>
        </w:rPr>
        <w:t xml:space="preserve"> Mechanism:</w:t>
      </w:r>
    </w:p>
    <w:p w14:paraId="48DB674A" w14:textId="15531069" w:rsidR="00B038CF" w:rsidRDefault="00B038CF" w:rsidP="00B038CF">
      <w:pPr>
        <w:spacing w:line="276" w:lineRule="auto"/>
        <w:jc w:val="both"/>
        <w:rPr>
          <w:rFonts w:cstheme="minorHAnsi"/>
        </w:rPr>
      </w:pPr>
      <w:r w:rsidRPr="00B038CF">
        <w:rPr>
          <w:rFonts w:cstheme="minorHAnsi"/>
        </w:rPr>
        <w:t xml:space="preserve">The national consultant </w:t>
      </w:r>
      <w:r>
        <w:rPr>
          <w:rFonts w:cstheme="minorHAnsi"/>
        </w:rPr>
        <w:t xml:space="preserve">will </w:t>
      </w:r>
      <w:r w:rsidRPr="00B038CF">
        <w:rPr>
          <w:rFonts w:cstheme="minorHAnsi"/>
        </w:rPr>
        <w:t xml:space="preserve">report to </w:t>
      </w:r>
      <w:r>
        <w:rPr>
          <w:rFonts w:cstheme="minorHAnsi"/>
        </w:rPr>
        <w:t xml:space="preserve">the </w:t>
      </w:r>
      <w:proofErr w:type="gramStart"/>
      <w:r>
        <w:rPr>
          <w:rFonts w:cstheme="minorHAnsi"/>
        </w:rPr>
        <w:t>Director</w:t>
      </w:r>
      <w:r w:rsidR="00335A91">
        <w:rPr>
          <w:rFonts w:cstheme="minorHAnsi"/>
        </w:rPr>
        <w:t>:</w:t>
      </w:r>
      <w:proofErr w:type="gramEnd"/>
      <w:r>
        <w:rPr>
          <w:rFonts w:cstheme="minorHAnsi"/>
        </w:rPr>
        <w:t xml:space="preserve"> Industry &amp; Agriculture at COMESA in order to</w:t>
      </w:r>
      <w:r w:rsidRPr="00B038CF">
        <w:rPr>
          <w:rFonts w:cstheme="minorHAnsi"/>
        </w:rPr>
        <w:t xml:space="preserve"> ensure proper coordination.</w:t>
      </w:r>
    </w:p>
    <w:p w14:paraId="2EA95A4C" w14:textId="19380FE2" w:rsidR="002A04EE" w:rsidRDefault="002A04EE" w:rsidP="00B038CF">
      <w:pPr>
        <w:spacing w:line="276" w:lineRule="auto"/>
        <w:jc w:val="both"/>
        <w:rPr>
          <w:rFonts w:cstheme="minorHAnsi"/>
        </w:rPr>
      </w:pPr>
    </w:p>
    <w:p w14:paraId="16C601A8" w14:textId="27938665" w:rsidR="002A04EE" w:rsidRPr="002A04EE" w:rsidRDefault="002A04EE" w:rsidP="00B038CF">
      <w:pPr>
        <w:spacing w:line="276" w:lineRule="auto"/>
        <w:jc w:val="both"/>
        <w:rPr>
          <w:rFonts w:cstheme="minorHAnsi"/>
          <w:b/>
        </w:rPr>
      </w:pPr>
      <w:r w:rsidRPr="002A04EE">
        <w:rPr>
          <w:rFonts w:cstheme="minorHAnsi"/>
          <w:b/>
        </w:rPr>
        <w:lastRenderedPageBreak/>
        <w:t>Submission</w:t>
      </w:r>
    </w:p>
    <w:p w14:paraId="225E6788" w14:textId="2311A6DF" w:rsidR="001D04C4" w:rsidRDefault="002A04EE" w:rsidP="00335A91">
      <w:pPr>
        <w:spacing w:line="276" w:lineRule="auto"/>
        <w:jc w:val="both"/>
        <w:rPr>
          <w:rFonts w:cstheme="minorHAnsi"/>
        </w:rPr>
      </w:pPr>
      <w:r>
        <w:rPr>
          <w:rFonts w:cstheme="minorHAnsi"/>
        </w:rPr>
        <w:t>Applications titled ‘</w:t>
      </w:r>
      <w:r w:rsidRPr="00401F07">
        <w:rPr>
          <w:rFonts w:cstheme="minorHAnsi"/>
          <w:i/>
        </w:rPr>
        <w:t xml:space="preserve">National Consultant for the </w:t>
      </w:r>
      <w:r w:rsidR="00401F07">
        <w:rPr>
          <w:rFonts w:cstheme="minorHAnsi"/>
          <w:i/>
        </w:rPr>
        <w:t>I</w:t>
      </w:r>
      <w:r w:rsidRPr="00401F07">
        <w:rPr>
          <w:rFonts w:cstheme="minorHAnsi"/>
          <w:i/>
        </w:rPr>
        <w:t>mplementation of Mutual Recognition Agreements under the COMESA-AGRA Project</w:t>
      </w:r>
      <w:r w:rsidRPr="00401F07">
        <w:rPr>
          <w:rFonts w:cstheme="minorHAnsi"/>
          <w:i/>
        </w:rPr>
        <w:t>’</w:t>
      </w:r>
      <w:r>
        <w:rPr>
          <w:rFonts w:cstheme="minorHAnsi"/>
        </w:rPr>
        <w:t xml:space="preserve"> </w:t>
      </w:r>
      <w:proofErr w:type="gramStart"/>
      <w:r>
        <w:rPr>
          <w:rFonts w:cstheme="minorHAnsi"/>
        </w:rPr>
        <w:t>should be submitted</w:t>
      </w:r>
      <w:proofErr w:type="gramEnd"/>
      <w:r>
        <w:rPr>
          <w:rFonts w:cstheme="minorHAnsi"/>
        </w:rPr>
        <w:t xml:space="preserve"> to the Ministry</w:t>
      </w:r>
      <w:r w:rsidR="005E6EA1">
        <w:rPr>
          <w:rFonts w:cstheme="minorHAnsi"/>
        </w:rPr>
        <w:t xml:space="preserve">, not later than </w:t>
      </w:r>
      <w:r w:rsidR="005E6EA1" w:rsidRPr="006703DC">
        <w:rPr>
          <w:rFonts w:cstheme="minorHAnsi"/>
          <w:b/>
        </w:rPr>
        <w:t>22 July 2024</w:t>
      </w:r>
      <w:r>
        <w:rPr>
          <w:rFonts w:cstheme="minorHAnsi"/>
        </w:rPr>
        <w:t xml:space="preserve"> through the following address:</w:t>
      </w:r>
    </w:p>
    <w:p w14:paraId="30311E50" w14:textId="083D6408" w:rsidR="002A04EE" w:rsidRPr="002A04EE" w:rsidRDefault="002A04EE" w:rsidP="002A04EE">
      <w:pPr>
        <w:spacing w:after="0" w:line="240" w:lineRule="auto"/>
        <w:jc w:val="both"/>
        <w:rPr>
          <w:rFonts w:cstheme="minorHAnsi"/>
          <w:b/>
        </w:rPr>
      </w:pPr>
      <w:r>
        <w:rPr>
          <w:rFonts w:cstheme="minorHAnsi"/>
        </w:rPr>
        <w:tab/>
      </w:r>
      <w:r w:rsidRPr="002A04EE">
        <w:rPr>
          <w:rFonts w:cstheme="minorHAnsi"/>
          <w:b/>
        </w:rPr>
        <w:t xml:space="preserve">The Secretary for Trade and Industry </w:t>
      </w:r>
    </w:p>
    <w:p w14:paraId="266BDF1B" w14:textId="77777777" w:rsidR="002A04EE" w:rsidRPr="002A04EE" w:rsidRDefault="002A04EE" w:rsidP="002A04EE">
      <w:pPr>
        <w:spacing w:after="0" w:line="240" w:lineRule="auto"/>
        <w:jc w:val="both"/>
        <w:rPr>
          <w:rFonts w:cstheme="minorHAnsi"/>
          <w:b/>
        </w:rPr>
      </w:pPr>
      <w:r w:rsidRPr="002A04EE">
        <w:rPr>
          <w:rFonts w:cstheme="minorHAnsi"/>
          <w:b/>
        </w:rPr>
        <w:tab/>
        <w:t>Ministry of Trade and Industry</w:t>
      </w:r>
    </w:p>
    <w:p w14:paraId="6917D2E0" w14:textId="77777777" w:rsidR="002A04EE" w:rsidRPr="002A04EE" w:rsidRDefault="002A04EE" w:rsidP="002A04EE">
      <w:pPr>
        <w:spacing w:after="0" w:line="240" w:lineRule="auto"/>
        <w:jc w:val="both"/>
        <w:rPr>
          <w:rFonts w:cstheme="minorHAnsi"/>
          <w:b/>
        </w:rPr>
      </w:pPr>
      <w:r w:rsidRPr="002A04EE">
        <w:rPr>
          <w:rFonts w:cstheme="minorHAnsi"/>
          <w:b/>
        </w:rPr>
        <w:tab/>
        <w:t>P.O. Box 30366</w:t>
      </w:r>
    </w:p>
    <w:p w14:paraId="121BDECD" w14:textId="77777777" w:rsidR="002A04EE" w:rsidRPr="002A04EE" w:rsidRDefault="002A04EE" w:rsidP="002A04EE">
      <w:pPr>
        <w:spacing w:after="0" w:line="240" w:lineRule="auto"/>
        <w:jc w:val="both"/>
        <w:rPr>
          <w:rFonts w:cstheme="minorHAnsi"/>
          <w:b/>
        </w:rPr>
      </w:pPr>
      <w:r w:rsidRPr="002A04EE">
        <w:rPr>
          <w:rFonts w:cstheme="minorHAnsi"/>
          <w:b/>
        </w:rPr>
        <w:tab/>
        <w:t xml:space="preserve">Gemini House </w:t>
      </w:r>
    </w:p>
    <w:p w14:paraId="3633465F" w14:textId="43EE5197" w:rsidR="002A04EE" w:rsidRPr="002A04EE" w:rsidRDefault="002A04EE" w:rsidP="002A04EE">
      <w:pPr>
        <w:spacing w:after="0" w:line="240" w:lineRule="auto"/>
        <w:jc w:val="both"/>
        <w:rPr>
          <w:rFonts w:cstheme="minorHAnsi"/>
          <w:b/>
        </w:rPr>
      </w:pPr>
      <w:r w:rsidRPr="002A04EE">
        <w:rPr>
          <w:rFonts w:cstheme="minorHAnsi"/>
          <w:b/>
        </w:rPr>
        <w:tab/>
        <w:t xml:space="preserve">Lilongwe </w:t>
      </w:r>
      <w:bookmarkStart w:id="0" w:name="_GoBack"/>
      <w:bookmarkEnd w:id="0"/>
    </w:p>
    <w:sectPr w:rsidR="002A04EE" w:rsidRPr="002A04EE" w:rsidSect="001525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96307" w14:textId="77777777" w:rsidR="00634D2F" w:rsidRDefault="00634D2F" w:rsidP="00394FB9">
      <w:pPr>
        <w:spacing w:after="0" w:line="240" w:lineRule="auto"/>
      </w:pPr>
      <w:r>
        <w:separator/>
      </w:r>
    </w:p>
  </w:endnote>
  <w:endnote w:type="continuationSeparator" w:id="0">
    <w:p w14:paraId="453D6F31" w14:textId="77777777" w:rsidR="00634D2F" w:rsidRDefault="00634D2F" w:rsidP="00394FB9">
      <w:pPr>
        <w:spacing w:after="0" w:line="240" w:lineRule="auto"/>
      </w:pPr>
      <w:r>
        <w:continuationSeparator/>
      </w:r>
    </w:p>
  </w:endnote>
  <w:endnote w:type="continuationNotice" w:id="1">
    <w:p w14:paraId="77B452FC" w14:textId="77777777" w:rsidR="00634D2F" w:rsidRDefault="00634D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872473"/>
      <w:docPartObj>
        <w:docPartGallery w:val="Page Numbers (Bottom of Page)"/>
        <w:docPartUnique/>
      </w:docPartObj>
    </w:sdtPr>
    <w:sdtEndPr>
      <w:rPr>
        <w:color w:val="7F7F7F" w:themeColor="background1" w:themeShade="7F"/>
        <w:spacing w:val="60"/>
      </w:rPr>
    </w:sdtEndPr>
    <w:sdtContent>
      <w:p w14:paraId="693ADF54" w14:textId="2E5BE454" w:rsidR="00394FB9" w:rsidRDefault="00394FB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01F07" w:rsidRPr="00401F07">
          <w:rPr>
            <w:b/>
            <w:bCs/>
            <w:noProof/>
          </w:rPr>
          <w:t>3</w:t>
        </w:r>
        <w:r>
          <w:rPr>
            <w:b/>
            <w:bCs/>
            <w:noProof/>
          </w:rPr>
          <w:fldChar w:fldCharType="end"/>
        </w:r>
        <w:r>
          <w:rPr>
            <w:b/>
            <w:bCs/>
          </w:rPr>
          <w:t xml:space="preserve"> | </w:t>
        </w:r>
        <w:r>
          <w:rPr>
            <w:color w:val="7F7F7F" w:themeColor="background1" w:themeShade="7F"/>
            <w:spacing w:val="60"/>
          </w:rPr>
          <w:t>Page</w:t>
        </w:r>
      </w:p>
    </w:sdtContent>
  </w:sdt>
  <w:p w14:paraId="3AFBAFFD" w14:textId="77777777" w:rsidR="00394FB9" w:rsidRDefault="00394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10B7E" w14:textId="77777777" w:rsidR="00634D2F" w:rsidRDefault="00634D2F" w:rsidP="00394FB9">
      <w:pPr>
        <w:spacing w:after="0" w:line="240" w:lineRule="auto"/>
      </w:pPr>
      <w:r>
        <w:separator/>
      </w:r>
    </w:p>
  </w:footnote>
  <w:footnote w:type="continuationSeparator" w:id="0">
    <w:p w14:paraId="367B8737" w14:textId="77777777" w:rsidR="00634D2F" w:rsidRDefault="00634D2F" w:rsidP="00394FB9">
      <w:pPr>
        <w:spacing w:after="0" w:line="240" w:lineRule="auto"/>
      </w:pPr>
      <w:r>
        <w:continuationSeparator/>
      </w:r>
    </w:p>
  </w:footnote>
  <w:footnote w:type="continuationNotice" w:id="1">
    <w:p w14:paraId="466BDE03" w14:textId="77777777" w:rsidR="00634D2F" w:rsidRDefault="00634D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5986B" w14:textId="77777777" w:rsidR="00CF6FC3" w:rsidRDefault="00CF6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0215"/>
    <w:multiLevelType w:val="hybridMultilevel"/>
    <w:tmpl w:val="06600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501423"/>
    <w:multiLevelType w:val="hybridMultilevel"/>
    <w:tmpl w:val="FB28C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53C8E"/>
    <w:multiLevelType w:val="hybridMultilevel"/>
    <w:tmpl w:val="C7D85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B1684"/>
    <w:multiLevelType w:val="hybridMultilevel"/>
    <w:tmpl w:val="684E08E4"/>
    <w:lvl w:ilvl="0" w:tplc="FFFFFFF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4855CAD"/>
    <w:multiLevelType w:val="hybridMultilevel"/>
    <w:tmpl w:val="5A7A6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F346C"/>
    <w:multiLevelType w:val="hybridMultilevel"/>
    <w:tmpl w:val="1AC6A842"/>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2D616C"/>
    <w:multiLevelType w:val="hybridMultilevel"/>
    <w:tmpl w:val="4C20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F0567"/>
    <w:multiLevelType w:val="hybridMultilevel"/>
    <w:tmpl w:val="C9F2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14B23"/>
    <w:multiLevelType w:val="hybridMultilevel"/>
    <w:tmpl w:val="904A02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A30704"/>
    <w:multiLevelType w:val="hybridMultilevel"/>
    <w:tmpl w:val="AC9C4F6A"/>
    <w:lvl w:ilvl="0" w:tplc="D3D0574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1B06BC"/>
    <w:multiLevelType w:val="hybridMultilevel"/>
    <w:tmpl w:val="A4583D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C452A6F"/>
    <w:multiLevelType w:val="hybridMultilevel"/>
    <w:tmpl w:val="3508F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7A1BC8"/>
    <w:multiLevelType w:val="hybridMultilevel"/>
    <w:tmpl w:val="3508F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EB3903"/>
    <w:multiLevelType w:val="hybridMultilevel"/>
    <w:tmpl w:val="F38C0458"/>
    <w:lvl w:ilvl="0" w:tplc="04090001">
      <w:start w:val="1"/>
      <w:numFmt w:val="bullet"/>
      <w:lvlText w:val=""/>
      <w:lvlJc w:val="left"/>
      <w:pPr>
        <w:ind w:left="1440" w:hanging="720"/>
      </w:pPr>
      <w:rPr>
        <w:rFonts w:ascii="Symbol" w:hAnsi="Symbol" w:hint="default"/>
      </w:rPr>
    </w:lvl>
    <w:lvl w:ilvl="1" w:tplc="E16C7AEA">
      <w:numFmt w:val="bullet"/>
      <w:lvlText w:val="•"/>
      <w:lvlJc w:val="left"/>
      <w:pPr>
        <w:ind w:left="2160" w:hanging="720"/>
      </w:pPr>
      <w:rPr>
        <w:rFonts w:ascii="Arial" w:eastAsiaTheme="minorHAnsi"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3F54A9"/>
    <w:multiLevelType w:val="hybridMultilevel"/>
    <w:tmpl w:val="3DB850A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D68A8"/>
    <w:multiLevelType w:val="hybridMultilevel"/>
    <w:tmpl w:val="7A80E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397BF4"/>
    <w:multiLevelType w:val="hybridMultilevel"/>
    <w:tmpl w:val="34DC6CF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CB0D23"/>
    <w:multiLevelType w:val="hybridMultilevel"/>
    <w:tmpl w:val="7550D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47674F"/>
    <w:multiLevelType w:val="hybridMultilevel"/>
    <w:tmpl w:val="FC32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64342"/>
    <w:multiLevelType w:val="hybridMultilevel"/>
    <w:tmpl w:val="72BC1E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934256A"/>
    <w:multiLevelType w:val="hybridMultilevel"/>
    <w:tmpl w:val="10562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9C5078"/>
    <w:multiLevelType w:val="hybridMultilevel"/>
    <w:tmpl w:val="594626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1"/>
  </w:num>
  <w:num w:numId="4">
    <w:abstractNumId w:val="8"/>
  </w:num>
  <w:num w:numId="5">
    <w:abstractNumId w:val="19"/>
  </w:num>
  <w:num w:numId="6">
    <w:abstractNumId w:val="10"/>
  </w:num>
  <w:num w:numId="7">
    <w:abstractNumId w:val="0"/>
  </w:num>
  <w:num w:numId="8">
    <w:abstractNumId w:val="15"/>
  </w:num>
  <w:num w:numId="9">
    <w:abstractNumId w:val="7"/>
  </w:num>
  <w:num w:numId="10">
    <w:abstractNumId w:val="14"/>
  </w:num>
  <w:num w:numId="11">
    <w:abstractNumId w:val="9"/>
  </w:num>
  <w:num w:numId="12">
    <w:abstractNumId w:val="18"/>
  </w:num>
  <w:num w:numId="13">
    <w:abstractNumId w:val="2"/>
  </w:num>
  <w:num w:numId="14">
    <w:abstractNumId w:val="17"/>
  </w:num>
  <w:num w:numId="15">
    <w:abstractNumId w:val="4"/>
  </w:num>
  <w:num w:numId="16">
    <w:abstractNumId w:val="5"/>
  </w:num>
  <w:num w:numId="17">
    <w:abstractNumId w:val="11"/>
  </w:num>
  <w:num w:numId="18">
    <w:abstractNumId w:val="6"/>
  </w:num>
  <w:num w:numId="19">
    <w:abstractNumId w:val="12"/>
  </w:num>
  <w:num w:numId="20">
    <w:abstractNumId w:val="13"/>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27"/>
    <w:rsid w:val="00004197"/>
    <w:rsid w:val="00015626"/>
    <w:rsid w:val="00026D3B"/>
    <w:rsid w:val="000352D1"/>
    <w:rsid w:val="00035EFD"/>
    <w:rsid w:val="00046CB8"/>
    <w:rsid w:val="0005003D"/>
    <w:rsid w:val="000543BD"/>
    <w:rsid w:val="00065F28"/>
    <w:rsid w:val="00071193"/>
    <w:rsid w:val="00081D60"/>
    <w:rsid w:val="00082CB0"/>
    <w:rsid w:val="00085B09"/>
    <w:rsid w:val="00094BE2"/>
    <w:rsid w:val="00096300"/>
    <w:rsid w:val="000971D3"/>
    <w:rsid w:val="000A4DEF"/>
    <w:rsid w:val="000B2498"/>
    <w:rsid w:val="000C4FCE"/>
    <w:rsid w:val="000D0621"/>
    <w:rsid w:val="000D0922"/>
    <w:rsid w:val="000D4F7C"/>
    <w:rsid w:val="000E0D49"/>
    <w:rsid w:val="000E25C6"/>
    <w:rsid w:val="000E323B"/>
    <w:rsid w:val="000E70A4"/>
    <w:rsid w:val="001052B9"/>
    <w:rsid w:val="00112BE1"/>
    <w:rsid w:val="00114681"/>
    <w:rsid w:val="00115123"/>
    <w:rsid w:val="00121B12"/>
    <w:rsid w:val="00133DF4"/>
    <w:rsid w:val="001464A3"/>
    <w:rsid w:val="001525E4"/>
    <w:rsid w:val="001546E8"/>
    <w:rsid w:val="001601FC"/>
    <w:rsid w:val="00163ADD"/>
    <w:rsid w:val="00180FFA"/>
    <w:rsid w:val="0018529D"/>
    <w:rsid w:val="00196BE0"/>
    <w:rsid w:val="001A507C"/>
    <w:rsid w:val="001A6124"/>
    <w:rsid w:val="001B177B"/>
    <w:rsid w:val="001B279E"/>
    <w:rsid w:val="001B5CEF"/>
    <w:rsid w:val="001B6AFD"/>
    <w:rsid w:val="001C5993"/>
    <w:rsid w:val="001D04C4"/>
    <w:rsid w:val="001E19AA"/>
    <w:rsid w:val="001F444D"/>
    <w:rsid w:val="00206B84"/>
    <w:rsid w:val="002152DA"/>
    <w:rsid w:val="002156E4"/>
    <w:rsid w:val="00215BEF"/>
    <w:rsid w:val="002309EB"/>
    <w:rsid w:val="00230C9D"/>
    <w:rsid w:val="00232C7F"/>
    <w:rsid w:val="00246455"/>
    <w:rsid w:val="00254899"/>
    <w:rsid w:val="00262D27"/>
    <w:rsid w:val="002702DB"/>
    <w:rsid w:val="0027390A"/>
    <w:rsid w:val="00273DCF"/>
    <w:rsid w:val="00283100"/>
    <w:rsid w:val="00284102"/>
    <w:rsid w:val="00285769"/>
    <w:rsid w:val="00287B8A"/>
    <w:rsid w:val="002930EA"/>
    <w:rsid w:val="002A04EE"/>
    <w:rsid w:val="002B1592"/>
    <w:rsid w:val="002B78EE"/>
    <w:rsid w:val="002C0BD9"/>
    <w:rsid w:val="002C188F"/>
    <w:rsid w:val="002C7AF4"/>
    <w:rsid w:val="002D37CB"/>
    <w:rsid w:val="002E2EEE"/>
    <w:rsid w:val="002F16FD"/>
    <w:rsid w:val="002F325E"/>
    <w:rsid w:val="00304AF4"/>
    <w:rsid w:val="00330905"/>
    <w:rsid w:val="003358E6"/>
    <w:rsid w:val="00335A91"/>
    <w:rsid w:val="00351E9D"/>
    <w:rsid w:val="00355C93"/>
    <w:rsid w:val="00356512"/>
    <w:rsid w:val="003611B2"/>
    <w:rsid w:val="003760C8"/>
    <w:rsid w:val="003870F7"/>
    <w:rsid w:val="00394FB9"/>
    <w:rsid w:val="003972AB"/>
    <w:rsid w:val="003A2867"/>
    <w:rsid w:val="003B2CE8"/>
    <w:rsid w:val="003C26F3"/>
    <w:rsid w:val="003C7156"/>
    <w:rsid w:val="003D2C94"/>
    <w:rsid w:val="003F091F"/>
    <w:rsid w:val="00401699"/>
    <w:rsid w:val="00401F07"/>
    <w:rsid w:val="00425301"/>
    <w:rsid w:val="00426864"/>
    <w:rsid w:val="0043002F"/>
    <w:rsid w:val="004312AC"/>
    <w:rsid w:val="00435148"/>
    <w:rsid w:val="00436801"/>
    <w:rsid w:val="00444A14"/>
    <w:rsid w:val="0045637B"/>
    <w:rsid w:val="00460330"/>
    <w:rsid w:val="00461236"/>
    <w:rsid w:val="00482D54"/>
    <w:rsid w:val="004839DA"/>
    <w:rsid w:val="004922D5"/>
    <w:rsid w:val="00496224"/>
    <w:rsid w:val="00497946"/>
    <w:rsid w:val="004B4559"/>
    <w:rsid w:val="004C481C"/>
    <w:rsid w:val="004C4CAF"/>
    <w:rsid w:val="004C6F22"/>
    <w:rsid w:val="004D4506"/>
    <w:rsid w:val="004F0FCF"/>
    <w:rsid w:val="004F2F3B"/>
    <w:rsid w:val="004F7865"/>
    <w:rsid w:val="0050026E"/>
    <w:rsid w:val="00507E1B"/>
    <w:rsid w:val="005109F3"/>
    <w:rsid w:val="00515313"/>
    <w:rsid w:val="00520565"/>
    <w:rsid w:val="00520EE7"/>
    <w:rsid w:val="005224EE"/>
    <w:rsid w:val="00530012"/>
    <w:rsid w:val="00530CB5"/>
    <w:rsid w:val="0053448D"/>
    <w:rsid w:val="005371B7"/>
    <w:rsid w:val="00537A9D"/>
    <w:rsid w:val="005438C4"/>
    <w:rsid w:val="00554E31"/>
    <w:rsid w:val="00556078"/>
    <w:rsid w:val="00557FD8"/>
    <w:rsid w:val="00571910"/>
    <w:rsid w:val="00582E38"/>
    <w:rsid w:val="0058443F"/>
    <w:rsid w:val="00590F9E"/>
    <w:rsid w:val="005A4D1F"/>
    <w:rsid w:val="005A616E"/>
    <w:rsid w:val="005B339C"/>
    <w:rsid w:val="005B523A"/>
    <w:rsid w:val="005C65CB"/>
    <w:rsid w:val="005E6EA1"/>
    <w:rsid w:val="005F512D"/>
    <w:rsid w:val="006014B3"/>
    <w:rsid w:val="006022F3"/>
    <w:rsid w:val="00603B62"/>
    <w:rsid w:val="00610BDF"/>
    <w:rsid w:val="006242EF"/>
    <w:rsid w:val="006279D6"/>
    <w:rsid w:val="006305FB"/>
    <w:rsid w:val="00633BB2"/>
    <w:rsid w:val="006347D9"/>
    <w:rsid w:val="00634D2F"/>
    <w:rsid w:val="00635214"/>
    <w:rsid w:val="00654655"/>
    <w:rsid w:val="006559FD"/>
    <w:rsid w:val="00662129"/>
    <w:rsid w:val="006621E7"/>
    <w:rsid w:val="00665C5B"/>
    <w:rsid w:val="006703DC"/>
    <w:rsid w:val="00677C6B"/>
    <w:rsid w:val="00681429"/>
    <w:rsid w:val="00681C81"/>
    <w:rsid w:val="006950AA"/>
    <w:rsid w:val="00696ABE"/>
    <w:rsid w:val="006A2F3D"/>
    <w:rsid w:val="006B0AE9"/>
    <w:rsid w:val="006B48D7"/>
    <w:rsid w:val="006C076C"/>
    <w:rsid w:val="006D2E78"/>
    <w:rsid w:val="006D3764"/>
    <w:rsid w:val="006F18B9"/>
    <w:rsid w:val="0070175D"/>
    <w:rsid w:val="0070643C"/>
    <w:rsid w:val="007074CD"/>
    <w:rsid w:val="007108DF"/>
    <w:rsid w:val="00710F2B"/>
    <w:rsid w:val="00720398"/>
    <w:rsid w:val="00723042"/>
    <w:rsid w:val="007358E4"/>
    <w:rsid w:val="00741A28"/>
    <w:rsid w:val="0074325E"/>
    <w:rsid w:val="00750958"/>
    <w:rsid w:val="00753620"/>
    <w:rsid w:val="00754CB3"/>
    <w:rsid w:val="00755074"/>
    <w:rsid w:val="00790537"/>
    <w:rsid w:val="00794F4C"/>
    <w:rsid w:val="00797BCF"/>
    <w:rsid w:val="00797C90"/>
    <w:rsid w:val="007A1F31"/>
    <w:rsid w:val="007A3870"/>
    <w:rsid w:val="007A54B4"/>
    <w:rsid w:val="007B65A5"/>
    <w:rsid w:val="007C3759"/>
    <w:rsid w:val="007D3806"/>
    <w:rsid w:val="007D6EFA"/>
    <w:rsid w:val="007E0524"/>
    <w:rsid w:val="00801D9A"/>
    <w:rsid w:val="008033F1"/>
    <w:rsid w:val="00805EC4"/>
    <w:rsid w:val="00807C5D"/>
    <w:rsid w:val="00812891"/>
    <w:rsid w:val="008158CB"/>
    <w:rsid w:val="008216FB"/>
    <w:rsid w:val="00825DB9"/>
    <w:rsid w:val="008350B6"/>
    <w:rsid w:val="00852B1C"/>
    <w:rsid w:val="0085439C"/>
    <w:rsid w:val="00861088"/>
    <w:rsid w:val="008628AE"/>
    <w:rsid w:val="008660E6"/>
    <w:rsid w:val="008700CA"/>
    <w:rsid w:val="008739A0"/>
    <w:rsid w:val="008749AA"/>
    <w:rsid w:val="008836BA"/>
    <w:rsid w:val="00893289"/>
    <w:rsid w:val="008B6914"/>
    <w:rsid w:val="008D15FD"/>
    <w:rsid w:val="008D51EA"/>
    <w:rsid w:val="008E1296"/>
    <w:rsid w:val="008E33A5"/>
    <w:rsid w:val="008E4488"/>
    <w:rsid w:val="008E6101"/>
    <w:rsid w:val="008E6267"/>
    <w:rsid w:val="008F1C73"/>
    <w:rsid w:val="008F6F74"/>
    <w:rsid w:val="00900232"/>
    <w:rsid w:val="00906578"/>
    <w:rsid w:val="009112C0"/>
    <w:rsid w:val="0091445F"/>
    <w:rsid w:val="00915B2C"/>
    <w:rsid w:val="009204BD"/>
    <w:rsid w:val="00933713"/>
    <w:rsid w:val="009346C7"/>
    <w:rsid w:val="009349D6"/>
    <w:rsid w:val="00935AB0"/>
    <w:rsid w:val="00936174"/>
    <w:rsid w:val="0094075C"/>
    <w:rsid w:val="00941A47"/>
    <w:rsid w:val="0094213E"/>
    <w:rsid w:val="0094543B"/>
    <w:rsid w:val="00945752"/>
    <w:rsid w:val="0095318D"/>
    <w:rsid w:val="009575F5"/>
    <w:rsid w:val="009715CA"/>
    <w:rsid w:val="00976AF1"/>
    <w:rsid w:val="00985A1C"/>
    <w:rsid w:val="00991135"/>
    <w:rsid w:val="00992FBC"/>
    <w:rsid w:val="00995D81"/>
    <w:rsid w:val="009A2D59"/>
    <w:rsid w:val="009A5631"/>
    <w:rsid w:val="009A58FA"/>
    <w:rsid w:val="009B59D0"/>
    <w:rsid w:val="009B6CE0"/>
    <w:rsid w:val="009C731D"/>
    <w:rsid w:val="009E73C9"/>
    <w:rsid w:val="009F487F"/>
    <w:rsid w:val="009F53DE"/>
    <w:rsid w:val="00A008C5"/>
    <w:rsid w:val="00A00F35"/>
    <w:rsid w:val="00A06B45"/>
    <w:rsid w:val="00A1315F"/>
    <w:rsid w:val="00A16D3D"/>
    <w:rsid w:val="00A21037"/>
    <w:rsid w:val="00A32BCA"/>
    <w:rsid w:val="00A36801"/>
    <w:rsid w:val="00A5326B"/>
    <w:rsid w:val="00A63D24"/>
    <w:rsid w:val="00A6400B"/>
    <w:rsid w:val="00A70791"/>
    <w:rsid w:val="00A707F2"/>
    <w:rsid w:val="00A7491F"/>
    <w:rsid w:val="00A759C6"/>
    <w:rsid w:val="00A83A16"/>
    <w:rsid w:val="00A841D9"/>
    <w:rsid w:val="00A94EA7"/>
    <w:rsid w:val="00A94F37"/>
    <w:rsid w:val="00AA2546"/>
    <w:rsid w:val="00AB0B8A"/>
    <w:rsid w:val="00AB27A0"/>
    <w:rsid w:val="00AB5943"/>
    <w:rsid w:val="00AC07D7"/>
    <w:rsid w:val="00AD29BD"/>
    <w:rsid w:val="00AE3EF2"/>
    <w:rsid w:val="00AE5C55"/>
    <w:rsid w:val="00B00F48"/>
    <w:rsid w:val="00B031A3"/>
    <w:rsid w:val="00B038CF"/>
    <w:rsid w:val="00B0462B"/>
    <w:rsid w:val="00B10C60"/>
    <w:rsid w:val="00B211F7"/>
    <w:rsid w:val="00B262E3"/>
    <w:rsid w:val="00B44EBF"/>
    <w:rsid w:val="00B52E5F"/>
    <w:rsid w:val="00B532E5"/>
    <w:rsid w:val="00B63BA6"/>
    <w:rsid w:val="00B66819"/>
    <w:rsid w:val="00B745EE"/>
    <w:rsid w:val="00B820E1"/>
    <w:rsid w:val="00B85440"/>
    <w:rsid w:val="00B85EB0"/>
    <w:rsid w:val="00B94E26"/>
    <w:rsid w:val="00BB55EC"/>
    <w:rsid w:val="00BC4ED6"/>
    <w:rsid w:val="00BC4F70"/>
    <w:rsid w:val="00BC60AC"/>
    <w:rsid w:val="00BD4CDF"/>
    <w:rsid w:val="00BE2B48"/>
    <w:rsid w:val="00BE2EBA"/>
    <w:rsid w:val="00BF47D5"/>
    <w:rsid w:val="00C00225"/>
    <w:rsid w:val="00C07EF1"/>
    <w:rsid w:val="00C167B1"/>
    <w:rsid w:val="00C227EC"/>
    <w:rsid w:val="00C23CD2"/>
    <w:rsid w:val="00C23FB4"/>
    <w:rsid w:val="00C36E0B"/>
    <w:rsid w:val="00C46301"/>
    <w:rsid w:val="00C47D8F"/>
    <w:rsid w:val="00C61E0F"/>
    <w:rsid w:val="00C67E51"/>
    <w:rsid w:val="00C768F3"/>
    <w:rsid w:val="00C77CE0"/>
    <w:rsid w:val="00C858FA"/>
    <w:rsid w:val="00C86225"/>
    <w:rsid w:val="00C93122"/>
    <w:rsid w:val="00C96F63"/>
    <w:rsid w:val="00CA21BC"/>
    <w:rsid w:val="00CC1BCC"/>
    <w:rsid w:val="00CC207F"/>
    <w:rsid w:val="00CD022F"/>
    <w:rsid w:val="00CD159D"/>
    <w:rsid w:val="00CD169E"/>
    <w:rsid w:val="00CD6851"/>
    <w:rsid w:val="00CE488D"/>
    <w:rsid w:val="00CF3B9B"/>
    <w:rsid w:val="00CF6FC3"/>
    <w:rsid w:val="00D02E40"/>
    <w:rsid w:val="00D07114"/>
    <w:rsid w:val="00D14BB4"/>
    <w:rsid w:val="00D15884"/>
    <w:rsid w:val="00D158E6"/>
    <w:rsid w:val="00D20062"/>
    <w:rsid w:val="00D25A1A"/>
    <w:rsid w:val="00D3145E"/>
    <w:rsid w:val="00D316F2"/>
    <w:rsid w:val="00D337D5"/>
    <w:rsid w:val="00D42841"/>
    <w:rsid w:val="00D47C1E"/>
    <w:rsid w:val="00D60526"/>
    <w:rsid w:val="00D624AE"/>
    <w:rsid w:val="00D67DEB"/>
    <w:rsid w:val="00D751A1"/>
    <w:rsid w:val="00D77282"/>
    <w:rsid w:val="00D81C6D"/>
    <w:rsid w:val="00D856CB"/>
    <w:rsid w:val="00DA2416"/>
    <w:rsid w:val="00DA2CB8"/>
    <w:rsid w:val="00DA47BB"/>
    <w:rsid w:val="00DA72F1"/>
    <w:rsid w:val="00DB27B8"/>
    <w:rsid w:val="00DD1B6A"/>
    <w:rsid w:val="00DD73E1"/>
    <w:rsid w:val="00DE74C9"/>
    <w:rsid w:val="00DF0CB2"/>
    <w:rsid w:val="00DF161F"/>
    <w:rsid w:val="00E00F65"/>
    <w:rsid w:val="00E10AC9"/>
    <w:rsid w:val="00E23604"/>
    <w:rsid w:val="00E253DB"/>
    <w:rsid w:val="00E3266E"/>
    <w:rsid w:val="00E43B02"/>
    <w:rsid w:val="00E45251"/>
    <w:rsid w:val="00E528AC"/>
    <w:rsid w:val="00E557C5"/>
    <w:rsid w:val="00E61701"/>
    <w:rsid w:val="00E6704D"/>
    <w:rsid w:val="00E672B1"/>
    <w:rsid w:val="00E7231F"/>
    <w:rsid w:val="00E7367B"/>
    <w:rsid w:val="00E95DC5"/>
    <w:rsid w:val="00EA1B83"/>
    <w:rsid w:val="00EA540E"/>
    <w:rsid w:val="00ED3D0E"/>
    <w:rsid w:val="00EE2378"/>
    <w:rsid w:val="00EE3D05"/>
    <w:rsid w:val="00EF4151"/>
    <w:rsid w:val="00F07F40"/>
    <w:rsid w:val="00F1725C"/>
    <w:rsid w:val="00F22AD6"/>
    <w:rsid w:val="00F24A04"/>
    <w:rsid w:val="00F27BBC"/>
    <w:rsid w:val="00F32D4F"/>
    <w:rsid w:val="00F339D3"/>
    <w:rsid w:val="00F33A1A"/>
    <w:rsid w:val="00F356A9"/>
    <w:rsid w:val="00F3578C"/>
    <w:rsid w:val="00F4058A"/>
    <w:rsid w:val="00F4487A"/>
    <w:rsid w:val="00F47063"/>
    <w:rsid w:val="00F503DD"/>
    <w:rsid w:val="00F50B53"/>
    <w:rsid w:val="00F556B3"/>
    <w:rsid w:val="00F643C8"/>
    <w:rsid w:val="00F64BB9"/>
    <w:rsid w:val="00F74F1C"/>
    <w:rsid w:val="00F757E6"/>
    <w:rsid w:val="00FC4C5F"/>
    <w:rsid w:val="00FC4C6F"/>
    <w:rsid w:val="00FC507C"/>
    <w:rsid w:val="00FC7C98"/>
    <w:rsid w:val="00FD0B04"/>
    <w:rsid w:val="00FD47D1"/>
    <w:rsid w:val="00FD5E5E"/>
    <w:rsid w:val="00FD7ED0"/>
    <w:rsid w:val="00FE216C"/>
    <w:rsid w:val="00FF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E823"/>
  <w15:docId w15:val="{2A2A2EDB-F8A9-476E-A2FD-A8F81F45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DD1B6A"/>
    <w:pPr>
      <w:spacing w:before="300" w:after="120" w:line="240" w:lineRule="auto"/>
      <w:outlineLvl w:val="2"/>
    </w:pPr>
    <w:rPr>
      <w:rFonts w:ascii="Arial" w:eastAsia="Calibri" w:hAnsi="Arial" w:cs="Times New Roman"/>
      <w:b/>
      <w:bCs/>
      <w:color w:val="F05827"/>
      <w:kern w:val="0"/>
      <w:sz w:val="26"/>
      <w:szCs w:val="26"/>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Figure Heading,Listeafsnit,Proposal Heading 1.1,Citation List,Bullet List,FooterText,List Paragraph1,bullet and numbering,references,Numbered List Paragraph,Bullets,List Paragraph (numbered (a)),References,WB List Paragraph,Liste 1"/>
    <w:basedOn w:val="Normal"/>
    <w:link w:val="ListParagraphChar"/>
    <w:uiPriority w:val="34"/>
    <w:qFormat/>
    <w:rsid w:val="00E6704D"/>
    <w:pPr>
      <w:spacing w:line="278" w:lineRule="auto"/>
      <w:ind w:left="720"/>
      <w:contextualSpacing/>
    </w:pPr>
    <w:rPr>
      <w:sz w:val="24"/>
      <w:szCs w:val="24"/>
    </w:rPr>
  </w:style>
  <w:style w:type="table" w:styleId="TableGrid">
    <w:name w:val="Table Grid"/>
    <w:basedOn w:val="TableNormal"/>
    <w:uiPriority w:val="39"/>
    <w:rsid w:val="00E6704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704D"/>
    <w:rPr>
      <w:sz w:val="16"/>
      <w:szCs w:val="16"/>
    </w:rPr>
  </w:style>
  <w:style w:type="paragraph" w:styleId="CommentText">
    <w:name w:val="annotation text"/>
    <w:basedOn w:val="Normal"/>
    <w:link w:val="CommentTextChar"/>
    <w:uiPriority w:val="99"/>
    <w:unhideWhenUsed/>
    <w:rsid w:val="00E6704D"/>
    <w:pPr>
      <w:spacing w:line="240" w:lineRule="auto"/>
    </w:pPr>
    <w:rPr>
      <w:sz w:val="20"/>
      <w:szCs w:val="20"/>
    </w:rPr>
  </w:style>
  <w:style w:type="character" w:customStyle="1" w:styleId="CommentTextChar">
    <w:name w:val="Comment Text Char"/>
    <w:basedOn w:val="DefaultParagraphFont"/>
    <w:link w:val="CommentText"/>
    <w:uiPriority w:val="99"/>
    <w:rsid w:val="00E6704D"/>
    <w:rPr>
      <w:sz w:val="20"/>
      <w:szCs w:val="20"/>
    </w:rPr>
  </w:style>
  <w:style w:type="paragraph" w:styleId="CommentSubject">
    <w:name w:val="annotation subject"/>
    <w:basedOn w:val="CommentText"/>
    <w:next w:val="CommentText"/>
    <w:link w:val="CommentSubjectChar"/>
    <w:uiPriority w:val="99"/>
    <w:semiHidden/>
    <w:unhideWhenUsed/>
    <w:rsid w:val="00790537"/>
    <w:rPr>
      <w:b/>
      <w:bCs/>
    </w:rPr>
  </w:style>
  <w:style w:type="character" w:customStyle="1" w:styleId="CommentSubjectChar">
    <w:name w:val="Comment Subject Char"/>
    <w:basedOn w:val="CommentTextChar"/>
    <w:link w:val="CommentSubject"/>
    <w:uiPriority w:val="99"/>
    <w:semiHidden/>
    <w:rsid w:val="00790537"/>
    <w:rPr>
      <w:b/>
      <w:bCs/>
      <w:sz w:val="20"/>
      <w:szCs w:val="20"/>
    </w:rPr>
  </w:style>
  <w:style w:type="paragraph" w:styleId="Header">
    <w:name w:val="header"/>
    <w:basedOn w:val="Normal"/>
    <w:link w:val="HeaderChar"/>
    <w:uiPriority w:val="99"/>
    <w:unhideWhenUsed/>
    <w:rsid w:val="00394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FB9"/>
  </w:style>
  <w:style w:type="paragraph" w:styleId="Footer">
    <w:name w:val="footer"/>
    <w:basedOn w:val="Normal"/>
    <w:link w:val="FooterChar"/>
    <w:uiPriority w:val="99"/>
    <w:unhideWhenUsed/>
    <w:rsid w:val="00394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FB9"/>
  </w:style>
  <w:style w:type="paragraph" w:styleId="Revision">
    <w:name w:val="Revision"/>
    <w:hidden/>
    <w:uiPriority w:val="99"/>
    <w:semiHidden/>
    <w:rsid w:val="00CF6FC3"/>
    <w:pPr>
      <w:spacing w:after="0" w:line="240" w:lineRule="auto"/>
    </w:pPr>
  </w:style>
  <w:style w:type="character" w:customStyle="1" w:styleId="Heading3Char">
    <w:name w:val="Heading 3 Char"/>
    <w:basedOn w:val="DefaultParagraphFont"/>
    <w:link w:val="Heading3"/>
    <w:uiPriority w:val="9"/>
    <w:rsid w:val="00DD1B6A"/>
    <w:rPr>
      <w:rFonts w:ascii="Arial" w:eastAsia="Calibri" w:hAnsi="Arial" w:cs="Times New Roman"/>
      <w:b/>
      <w:bCs/>
      <w:color w:val="F05827"/>
      <w:kern w:val="0"/>
      <w:sz w:val="26"/>
      <w:szCs w:val="26"/>
      <w:lang w:val="en-GB"/>
      <w14:ligatures w14:val="none"/>
    </w:rPr>
  </w:style>
  <w:style w:type="character" w:customStyle="1" w:styleId="ListParagraphChar">
    <w:name w:val="List Paragraph Char"/>
    <w:aliases w:val="Table/Figure Heading Char,Listeafsnit Char,Proposal Heading 1.1 Char,Citation List Char,Bullet List Char,FooterText Char,List Paragraph1 Char,bullet and numbering Char,references Char,Numbered List Paragraph Char,Bullets Char"/>
    <w:link w:val="ListParagraph"/>
    <w:uiPriority w:val="34"/>
    <w:qFormat/>
    <w:locked/>
    <w:rsid w:val="00DD1B6A"/>
    <w:rPr>
      <w:sz w:val="24"/>
      <w:szCs w:val="24"/>
    </w:rPr>
  </w:style>
  <w:style w:type="paragraph" w:styleId="NoSpacing">
    <w:name w:val="No Spacing"/>
    <w:link w:val="NoSpacingChar"/>
    <w:uiPriority w:val="1"/>
    <w:qFormat/>
    <w:rsid w:val="00DD1B6A"/>
    <w:pPr>
      <w:spacing w:after="0" w:line="240" w:lineRule="auto"/>
    </w:pPr>
    <w:rPr>
      <w:kern w:val="0"/>
      <w:sz w:val="24"/>
      <w:szCs w:val="24"/>
      <w14:ligatures w14:val="none"/>
    </w:rPr>
  </w:style>
  <w:style w:type="character" w:customStyle="1" w:styleId="NoSpacingChar">
    <w:name w:val="No Spacing Char"/>
    <w:link w:val="NoSpacing"/>
    <w:uiPriority w:val="1"/>
    <w:rsid w:val="00DD1B6A"/>
    <w:rPr>
      <w:kern w:val="0"/>
      <w:sz w:val="24"/>
      <w:szCs w:val="24"/>
      <w14:ligatures w14:val="none"/>
    </w:rPr>
  </w:style>
  <w:style w:type="table" w:styleId="GridTable4-Accent6">
    <w:name w:val="Grid Table 4 Accent 6"/>
    <w:basedOn w:val="TableNormal"/>
    <w:uiPriority w:val="49"/>
    <w:rsid w:val="001B17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alloonText">
    <w:name w:val="Balloon Text"/>
    <w:basedOn w:val="Normal"/>
    <w:link w:val="BalloonTextChar"/>
    <w:uiPriority w:val="99"/>
    <w:semiHidden/>
    <w:unhideWhenUsed/>
    <w:rsid w:val="000D0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6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845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78A88-E6E6-4E5C-A42D-D3F9236CB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Gokah, Isaac</dc:creator>
  <cp:keywords/>
  <dc:description/>
  <cp:lastModifiedBy>Ovilera</cp:lastModifiedBy>
  <cp:revision>5</cp:revision>
  <dcterms:created xsi:type="dcterms:W3CDTF">2024-07-11T14:12:00Z</dcterms:created>
  <dcterms:modified xsi:type="dcterms:W3CDTF">2024-07-16T14:43:00Z</dcterms:modified>
</cp:coreProperties>
</file>